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Open Banking Aggregation — UK Personal Finance App — ClickMasters Case Study
META DESC: A UK personal finance startup wanted to build a money management app aggregating all user financial accounts (...
SLUG: /case-studies/fintech-personal-finance-open-banking/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Open Banking Aggregation — UK Personal Finance App</w:t>
      </w:r>
    </w:p>
    <w:p>
      <w:pPr>
        <w:spacing w:after="60" w:before="60"/>
      </w:pPr>
    </w:p>
    <w:p>
      <w:pPr>
        <w:pStyle w:val="Heading1"/>
        <w:spacing w:after="160" w:before="360"/>
      </w:pPr>
      <w:r>
        <w:rPr>
          <w:rFonts w:ascii="Arial" w:cs="Arial" w:eastAsia="Arial" w:hAnsi="Arial"/>
          <w:b/>
          <w:bCs/>
          <w:color w:val="0B1F3A"/>
          <w:sz w:val="40"/>
          <w:szCs w:val="40"/>
        </w:rPr>
        <w:t xml:space="preserve">FinTech Open Banking Aggregation — UK Personal Finance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Personal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Personal Finance | Tech: React Native (iOS + Android), Node.js/Fastify, Python (ML categorisation), PostgreSQL, TrueLayer Open Banking, AWS eu-west-2 | Compliance: FCA Consumer Duty, Open Banking/PSD2 (OBIE consent), UK GDPR (financial data consent), ICO guidance on nudge techniques,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personal finance startup wanted to build a money management app aggregating all user financial accounts (current accounts, savings, credit cards, investments) via Open Banking to provide: net worth tracking, spending categorisation, savings insights, and budgeting. Consent management (90-day re-authorisation per PSD2/Open Banking), FCA Consumer Duty (avoiding dark patterns in nudge features), and UK GDPR consent for financial data processing were the primary challenges.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Multi-Bank Open Banking Integration: </w:t>
      </w:r>
      <w:r>
        <w:rPr>
          <w:rFonts w:ascii="Arial" w:cs="Arial" w:eastAsia="Arial" w:hAnsi="Arial"/>
          <w:b w:val="false"/>
          <w:bCs w:val="false"/>
          <w:i w:val="false"/>
          <w:iCs w:val="false"/>
          <w:color w:val="1A2332"/>
          <w:sz w:val="22"/>
          <w:szCs w:val="22"/>
        </w:rPr>
        <w:t xml:space="preserve">TrueLayer as Open Banking provider: 50+ UK banks supported. Account types: current accounts, savings, credit cards, mortgages, investments (where supported). 90-day consent re-authorisation: automated in-app reminder flow at day 80 (not day 89 — ICO guidance says reminders should not be designed to expire before users act). Consent revocation: instant from within app.</w:t>
      </w:r>
    </w:p>
    <w:p>
      <w:pPr>
        <w:spacing w:after="160" w:before="100"/>
      </w:pPr>
      <w:r>
        <w:rPr>
          <w:rFonts w:ascii="Arial" w:cs="Arial" w:eastAsia="Arial" w:hAnsi="Arial"/>
          <w:b/>
          <w:bCs/>
          <w:i w:val="false"/>
          <w:iCs w:val="false"/>
          <w:color w:val="E8612A"/>
          <w:sz w:val="22"/>
          <w:szCs w:val="22"/>
        </w:rPr>
        <w:t xml:space="preserve">Transaction Enrichment and Categorisation: </w:t>
      </w:r>
      <w:r>
        <w:rPr>
          <w:rFonts w:ascii="Arial" w:cs="Arial" w:eastAsia="Arial" w:hAnsi="Arial"/>
          <w:b w:val="false"/>
          <w:bCs w:val="false"/>
          <w:i w:val="false"/>
          <w:iCs w:val="false"/>
          <w:color w:val="1A2332"/>
          <w:sz w:val="22"/>
          <w:szCs w:val="22"/>
        </w:rPr>
        <w:t xml:space="preserve">Merchant categorisation: in-house ML model (Python + scikit-learn) trained on anonymised UK transaction data. Merchant name normalisation (deduplicate "AMZN*", "AMAZON", "amazon.co.uk"). Category taxonomy: 18 spending categories aligned with ONS Consumer Price Index categories for relevance to UK users.</w:t>
      </w:r>
    </w:p>
    <w:p>
      <w:pPr>
        <w:spacing w:after="160" w:before="100"/>
      </w:pPr>
      <w:r>
        <w:rPr>
          <w:rFonts w:ascii="Arial" w:cs="Arial" w:eastAsia="Arial" w:hAnsi="Arial"/>
          <w:b/>
          <w:bCs/>
          <w:i w:val="false"/>
          <w:iCs w:val="false"/>
          <w:color w:val="E8612A"/>
          <w:sz w:val="22"/>
          <w:szCs w:val="22"/>
        </w:rPr>
        <w:t xml:space="preserve">FCA Consumer Duty in Nudge Features: </w:t>
      </w:r>
      <w:r>
        <w:rPr>
          <w:rFonts w:ascii="Arial" w:cs="Arial" w:eastAsia="Arial" w:hAnsi="Arial"/>
          <w:b w:val="false"/>
          <w:bCs w:val="false"/>
          <w:i w:val="false"/>
          <w:iCs w:val="false"/>
          <w:color w:val="1A2332"/>
          <w:sz w:val="22"/>
          <w:szCs w:val="22"/>
        </w:rPr>
        <w:t xml:space="preserve">Savings nudge features reviewed against FCA Consumer Duty Consumer Understanding outcome: no misleading comparisons (savings rate comparisons include all charges), no dark patterns in nudge notifications (optional and easily dismissed), clear distinction between data insights and financial advice (automated insights are not regulated advice — explicit disclaimer on each insight).</w:t>
      </w:r>
    </w:p>
    <w:p>
      <w:pPr>
        <w:spacing w:after="160" w:before="100"/>
      </w:pPr>
      <w:r>
        <w:rPr>
          <w:rFonts w:ascii="Arial" w:cs="Arial" w:eastAsia="Arial" w:hAnsi="Arial"/>
          <w:b/>
          <w:bCs/>
          <w:i w:val="false"/>
          <w:iCs w:val="false"/>
          <w:color w:val="E8612A"/>
          <w:sz w:val="22"/>
          <w:szCs w:val="22"/>
        </w:rPr>
        <w:t xml:space="preserve">UK GDPR Consent Architecture: </w:t>
      </w:r>
      <w:r>
        <w:rPr>
          <w:rFonts w:ascii="Arial" w:cs="Arial" w:eastAsia="Arial" w:hAnsi="Arial"/>
          <w:b w:val="false"/>
          <w:bCs w:val="false"/>
          <w:i w:val="false"/>
          <w:iCs w:val="false"/>
          <w:color w:val="1A2332"/>
          <w:sz w:val="22"/>
          <w:szCs w:val="22"/>
        </w:rPr>
        <w:t xml:space="preserve">Granular consent: users consent to specific processing purposes independently (spending analysis, savings insights, budgeting, marketing). Consent withdrawal: withdrawing marketing consent does not affect core service consent. Consent audit trail: every consent event (grant, withdraw, update) logged with timestamp for ICO accountability.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to beta at 12 weeks, £88,000 — under budget. Open Banking connections: 8,200 accounts linked in first 3 months. Average accounts per user: 4.1 (across current, savings, credit). Spending categorisation accuracy: 94% (user correction rate 6%). FCA Consumer Duty review at 3 months: zero adverse findings. UK GDPR audit: granular consent architecture praised by DPO as best practice. App Store rating: 4.7/5.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consent architecture ClickMasters built is genuinely the best I've reviewed in three years of consumer finance DPO work. Granular, auditable, and genuinely easy for users to understand. The FCA Consumer Duty review was a non-event — exactly as it should be." — Data Protection Officer, UK Personal Finance App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 + Android), Node.js/Fastify, Python (ML categorisation), PostgreSQL, TrueLayer Open Banking,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Open Banking/PSD2 (OBIE consent), UK GDPR (financial data consent), ICO guidance on nudge techniques,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open banking app development uk, personal finance software uk, fintech open banking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2026-05-24T11:36:57.713Z</dcterms:created>
  <dcterms:modified xsi:type="dcterms:W3CDTF">2026-05-24T11:36:57.713Z</dcterms:modified>
</cp:coreProperties>
</file>

<file path=docProps/custom.xml><?xml version="1.0" encoding="utf-8"?>
<Properties xmlns="http://schemas.openxmlformats.org/officeDocument/2006/custom-properties" xmlns:vt="http://schemas.openxmlformats.org/officeDocument/2006/docPropsVTypes"/>
</file>