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Business Analyst Salary UK 2025 | ClickMasters
META DESC: Business analyst salary UK 2025. Permanent, day rate, IR35. By seniority and city.
SLUG: /business-analyst-salary-uk-2025/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Business Analyst Salary UK 2025</w:t>
      </w:r>
    </w:p>
    <w:p>
      <w:pPr>
        <w:spacing w:after="60" w:before="60"/>
      </w:pPr>
    </w:p>
    <w:p>
      <w:pPr>
        <w:pStyle w:val="Heading1"/>
        <w:spacing w:after="160" w:before="360"/>
      </w:pPr>
      <w:r>
        <w:rPr>
          <w:rFonts w:ascii="Arial" w:cs="Arial" w:eastAsia="Arial" w:hAnsi="Arial"/>
          <w:b/>
          <w:bCs/>
          <w:color w:val="0B1F3A"/>
          <w:sz w:val="40"/>
          <w:szCs w:val="40"/>
        </w:rPr>
        <w:t xml:space="preserve">Business Analyst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Business Analyst salaries in the UK range from £32,000 (junior) to £120,000+ (principal/head of BA). London rates add 20–30%. Agile BA and UK GDPR-aware BA profiles command meaningful premiums in regulated sectors.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Business Analysts are a critical role in UK software development — bridging business requirements and technical delivery. The BA role has evolved from traditional waterfall requirements documentation to agile product ownership support, user story writing, and acceptance criteria definition. UK regulated sector BAs (FinTech, HealthTech, GovTech) command significant premiums for their regulatory expertise.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Business Analyst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 Salary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 (day rate)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BA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£32,000–£48,000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£250–£380/day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£46,650–£70,908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BA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£370–£540/day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£69,042–£100,764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BA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£72,000–£100,000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£520–£720/day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£97,032–£134,352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BA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£95,000–£140,000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£680–£950/day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£126,936–£177,330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are 15–25% higher. ClickMasters BAs are our employees — zero IR35 liability for clients.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Business Analyst Salary Premiums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Specialism</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Premium vs BA Average</w:t>
            </w:r>
          </w:p>
        </w:tc>
        <w:tc>
          <w:tcPr>
            <w:tcW w:type="dxa" w:w="4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Reason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Agile BA / Product Owner hybrid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+15–25%</w:t>
            </w:r>
          </w:p>
        </w:tc>
        <w:tc>
          <w:tcPr>
            <w:tcW w:type="dxa" w:w="4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Increasingly required in agile-first UK development</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FCA-regulated FinTech BA</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+20–35%</w:t>
            </w:r>
          </w:p>
        </w:tc>
        <w:tc>
          <w:tcPr>
            <w:tcW w:type="dxa" w:w="4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Consumer Duty requirements knowledge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 DTAC BA</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w:t>
            </w:r>
          </w:p>
        </w:tc>
        <w:tc>
          <w:tcPr>
            <w:tcW w:type="dxa" w:w="4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domain knowledge, clinical pathway understanding</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 BA</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+10–20%</w:t>
            </w:r>
          </w:p>
        </w:tc>
        <w:tc>
          <w:tcPr>
            <w:tcW w:type="dxa" w:w="4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User research, GDS assessment preparation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 Data BA</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+10–20%</w:t>
            </w:r>
          </w:p>
        </w:tc>
        <w:tc>
          <w:tcPr>
            <w:tcW w:type="dxa" w:w="4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Article 30 ROPA, DPIA, data flow documentation</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BA</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+20–40%</w:t>
            </w:r>
          </w:p>
        </w:tc>
        <w:tc>
          <w:tcPr>
            <w:tcW w:type="dxa" w:w="4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Prompt engineering, AI use case definition, model evaluation</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Business Analyst salary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£48,000–£72,000 mid-level. Senior BA: £72,000–£100,000. London adds 20–30%. Regulated sector premiums (FinTech, HealthTech, GovTech) of 15–35% are real and consistently observed in the UK market.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Software Developer Salary UK: /software-developer-salary-uk-2025/</w:t>
      </w:r>
    </w:p>
    <w:p>
      <w:pPr>
        <w:pStyle w:val="ListParagraph"/>
        <w:numPr>
          <w:ilvl w:val="0"/>
          <w:numId w:val="2"/>
        </w:numPr>
        <w:spacing w:after="60" w:before="60"/>
      </w:pPr>
      <w:r>
        <w:rPr>
          <w:rFonts w:ascii="Arial" w:cs="Arial" w:eastAsia="Arial" w:hAnsi="Arial"/>
          <w:color w:val="1A4A8A"/>
          <w:sz w:val="22"/>
          <w:szCs w:val="22"/>
        </w:rPr>
        <w:t xml:space="preserve">Product Manager Salary UK: /product-manager-salary-uk-2025/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Business Analyst — IR35-Safe</w:t>
            </w:r>
          </w:p>
          <w:p>
            <w:pPr>
              <w:spacing w:after="160" w:before="0"/>
            </w:pPr>
            <w:r>
              <w:rPr>
                <w:rFonts w:ascii="Arial" w:cs="Arial" w:eastAsia="Arial" w:hAnsi="Arial"/>
                <w:color w:val="BDD0E8"/>
                <w:sz w:val="22"/>
                <w:szCs w:val="22"/>
              </w:rPr>
              <w:t xml:space="preserve">ClickMasters BAs are our employees. Zero IR35 risk.</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BA market specialists</w:t>
            </w:r>
          </w:p>
          <w:p>
            <w:pPr>
              <w:spacing w:after="0" w:before="0"/>
            </w:pPr>
            <w:r>
              <w:rPr>
                <w:rFonts w:ascii="Arial" w:cs="Arial" w:eastAsia="Arial" w:hAnsi="Arial"/>
                <w:color w:val="1A2332"/>
                <w:sz w:val="20"/>
                <w:szCs w:val="20"/>
              </w:rPr>
              <w:t xml:space="preserve">Annual salary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"business analyst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2026-05-24T12:23:24.891Z</dcterms:created>
  <dcterms:modified xsi:type="dcterms:W3CDTF">2026-05-24T12:23:24.891Z</dcterms:modified>
</cp:coreProperties>
</file>

<file path=docProps/custom.xml><?xml version="1.0" encoding="utf-8"?>
<Properties xmlns="http://schemas.openxmlformats.org/officeDocument/2006/custom-properties" xmlns:vt="http://schemas.openxmlformats.org/officeDocument/2006/docPropsVTypes"/>
</file>