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QA &amp; Testing for HealthTech UK | ClickMasters
META DESC: QA &amp; Testing for UK HealthTech. DTAC Domain 3. from £6,000.
SLUG: /healthtech-qa-testing/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HealthTech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HealthTech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QA &amp; Testing for HealthTech</w:t>
      </w:r>
    </w:p>
    <w:p>
      <w:pPr>
        <w:spacing w:after="60" w:before="60"/>
      </w:pPr>
    </w:p>
    <w:p>
      <w:pPr>
        <w:pStyle w:val="Heading1"/>
        <w:spacing w:after="160" w:before="360"/>
      </w:pPr>
      <w:r>
        <w:rPr>
          <w:rFonts w:ascii="Arial" w:cs="Arial" w:eastAsia="Arial" w:hAnsi="Arial"/>
          <w:b/>
          <w:bCs/>
          <w:color w:val="0B1F3A"/>
          <w:sz w:val="40"/>
          <w:szCs w:val="40"/>
        </w:rPr>
        <w:t xml:space="preserve">QA &amp; Testing for UK HealthTech — DTAC Domain 3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HealthTech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DTAC Domain 3</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£6,000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QA &amp; Testing for UK HealthTech businesses with DTAC Domain 3,  DCB0129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QA &amp; Testing for HealthTech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DTAC Domain 3 Security Testing Evidence: </w:t>
      </w:r>
      <w:r>
        <w:rPr>
          <w:rFonts w:ascii="Arial" w:cs="Arial" w:eastAsia="Arial" w:hAnsi="Arial"/>
          <w:b w:val="false"/>
          <w:bCs w:val="false"/>
          <w:i w:val="false"/>
          <w:iCs w:val="false"/>
          <w:color w:val="1A2332"/>
          <w:sz w:val="22"/>
          <w:szCs w:val="22"/>
        </w:rPr>
        <w:t xml:space="preserve">DTAC Domain 3 (Technical Security) requires CREST-certified penetration testing and evidence of secure development practices. ClickMasters HealthTech QA includes: OWASP Top 10 testing for all NHS-connected applications, CREST pen test commissioning and remediation tracking, automated SAST (static analysis) evidence for DCB0129 secure development, and a completed DTAC Domain 3 evidence pack.</w:t>
      </w:r>
    </w:p>
    <w:p>
      <w:pPr>
        <w:spacing w:after="60" w:before="60"/>
      </w:pPr>
    </w:p>
    <w:p>
      <w:pPr>
        <w:spacing w:after="160" w:before="100"/>
      </w:pPr>
      <w:r>
        <w:rPr>
          <w:rFonts w:ascii="Arial" w:cs="Arial" w:eastAsia="Arial" w:hAnsi="Arial"/>
          <w:b/>
          <w:bCs/>
          <w:i w:val="false"/>
          <w:iCs w:val="false"/>
          <w:color w:val="E8612A"/>
          <w:sz w:val="22"/>
          <w:szCs w:val="22"/>
        </w:rPr>
        <w:t xml:space="preserve">DCB0129 Clinical Safety Testing: </w:t>
      </w:r>
      <w:r>
        <w:rPr>
          <w:rFonts w:ascii="Arial" w:cs="Arial" w:eastAsia="Arial" w:hAnsi="Arial"/>
          <w:b w:val="false"/>
          <w:bCs w:val="false"/>
          <w:i w:val="false"/>
          <w:iCs w:val="false"/>
          <w:color w:val="1A2332"/>
          <w:sz w:val="22"/>
          <w:szCs w:val="22"/>
        </w:rPr>
        <w:t xml:space="preserve">Clinical Safety testing is required under DCB0129. Key test areas: data integrity (is patient data correctly associated with the right patient — identity mismatch is a clinical safety hazard), alert logic testing (do clinical alerts fire correctly and not fire incorrectly — false negatives are the highest-risk hazard), and edge case testing for clinical decision support functions.</w:t>
      </w:r>
    </w:p>
    <w:p>
      <w:pPr>
        <w:spacing w:after="60" w:before="60"/>
      </w:pPr>
    </w:p>
    <w:p>
      <w:pPr>
        <w:spacing w:after="160" w:before="100"/>
      </w:pPr>
      <w:r>
        <w:rPr>
          <w:rFonts w:ascii="Arial" w:cs="Arial" w:eastAsia="Arial" w:hAnsi="Arial"/>
          <w:b/>
          <w:bCs/>
          <w:i w:val="false"/>
          <w:iCs w:val="false"/>
          <w:color w:val="E8612A"/>
          <w:sz w:val="22"/>
          <w:szCs w:val="22"/>
        </w:rPr>
        <w:t xml:space="preserve">NHS FHIR R4 Integration Testing: </w:t>
      </w:r>
      <w:r>
        <w:rPr>
          <w:rFonts w:ascii="Arial" w:cs="Arial" w:eastAsia="Arial" w:hAnsi="Arial"/>
          <w:b w:val="false"/>
          <w:bCs w:val="false"/>
          <w:i w:val="false"/>
          <w:iCs w:val="false"/>
          <w:color w:val="1A2332"/>
          <w:sz w:val="22"/>
          <w:szCs w:val="22"/>
        </w:rPr>
        <w:t xml:space="preserve">FHIR R4 UK Core integration testing: NHS Number verification (PDS lookups return correct patient), GP Connect data retrieval (appointment, record access), NHS Login OIDC token validation (P5/P9 assurance levels), and eRS referral flow end-to-end testing. ClickMasters uses NHS Digital sandbox environments for all integration testing.</w:t>
      </w:r>
    </w:p>
    <w:p>
      <w:pPr>
        <w:spacing w:after="60" w:before="60"/>
      </w:pPr>
    </w:p>
    <w:p>
      <w:pPr>
        <w:spacing w:after="160" w:before="100"/>
      </w:pPr>
      <w:r>
        <w:rPr>
          <w:rFonts w:ascii="Arial" w:cs="Arial" w:eastAsia="Arial" w:hAnsi="Arial"/>
          <w:b/>
          <w:bCs/>
          <w:i w:val="false"/>
          <w:iCs w:val="false"/>
          <w:color w:val="E8612A"/>
          <w:sz w:val="22"/>
          <w:szCs w:val="22"/>
        </w:rPr>
        <w:t xml:space="preserve">WCAG 2.1 AA Manual Testing for NHS Apps: </w:t>
      </w:r>
      <w:r>
        <w:rPr>
          <w:rFonts w:ascii="Arial" w:cs="Arial" w:eastAsia="Arial" w:hAnsi="Arial"/>
          <w:b w:val="false"/>
          <w:bCs w:val="false"/>
          <w:i w:val="false"/>
          <w:iCs w:val="false"/>
          <w:color w:val="1A2332"/>
          <w:sz w:val="22"/>
          <w:szCs w:val="22"/>
        </w:rPr>
        <w:t xml:space="preserve">DTAC Domain 5 (Usability) requires WCAG 2.1 AA compliance with evidence of manual testing. Automated tools (Axe, Lighthouse) catch approximately 30% of WCAG issues — the remaining 70% require manual testing by an accessibility specialist. ClickMasters's HealthTech QA includes NVDA screen reader testing, keyboard-only navigation, and colour contrast manual verification.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DTAC Domain 3, DCB0129, UK GDPR Article 9, WCAG 2.1 AA, NHS DSP Toolkit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HealthTech QA &amp; Testing</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£6,000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£3,500/mo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DTAC Domain 3 evidence does QA testing provide?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DTAC Domain 3 evidence from ClickMasters HealthTech QA: CREST-certified penetration test report (with remediation evidence), OWASP Top 10 testing evidence for all public-facing endpoints, automated SAST scan results in CI/CD pipeline, dependency scanning evidence (Cyber Essentials patch management), and security architecture documentation showing secure development practices.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is WCAG 2.1 testing different for NHS apps?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NHS apps have WCAG 2.1 AA as a DTAC Domain 5 requirement. The key difference from standard accessibility testing: DTAC reviewers expect evidence of manual testing (automated scan results alone are insufficient), specific testing with assistive technologies used by clinical staff (screen readers in clinical environments), and testing for accessibility under clinical workload conditions (keyboard-only navigation in a time-pressured workflow).</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HealthTech Software Development UK: /healthtech-software-development/</w:t>
      </w:r>
    </w:p>
    <w:p>
      <w:pPr>
        <w:pStyle w:val="ListParagraph"/>
        <w:numPr>
          <w:ilvl w:val="0"/>
          <w:numId w:val="2"/>
        </w:numPr>
        <w:spacing w:after="60" w:before="60"/>
      </w:pPr>
      <w:r>
        <w:rPr>
          <w:rFonts w:ascii="Arial" w:cs="Arial" w:eastAsia="Arial" w:hAnsi="Arial"/>
          <w:color w:val="1A4A8A"/>
          <w:sz w:val="22"/>
          <w:szCs w:val="22"/>
        </w:rPr>
        <w:t xml:space="preserve">QA &amp; Testing UK: /qa-testing/</w:t>
      </w:r>
    </w:p>
    <w:p>
      <w:pPr>
        <w:pStyle w:val="ListParagraph"/>
        <w:numPr>
          <w:ilvl w:val="0"/>
          <w:numId w:val="2"/>
        </w:numPr>
        <w:spacing w:after="60" w:before="60"/>
      </w:pPr>
      <w:r>
        <w:rPr>
          <w:rFonts w:ascii="Arial" w:cs="Arial" w:eastAsia="Arial" w:hAnsi="Arial"/>
          <w:color w:val="1A4A8A"/>
          <w:sz w:val="22"/>
          <w:szCs w:val="22"/>
        </w:rPr>
        <w:t xml:space="preserve">DTAC Compliance Guide UK: /dtac-compliance-guide/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HealthTech QA &amp; Testing</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HealthTech Team</w:t>
            </w:r>
          </w:p>
          <w:p>
            <w:pPr>
              <w:spacing w:after="80" w:before="0"/>
            </w:pPr>
            <w:r>
              <w:rPr>
                <w:rFonts w:ascii="Arial" w:cs="Arial" w:eastAsia="Arial" w:hAnsi="Arial"/>
                <w:b/>
                <w:bCs/>
                <w:color w:val="E8612A"/>
                <w:sz w:val="20"/>
                <w:szCs w:val="20"/>
              </w:rPr>
              <w:t xml:space="preserve">HealthTech software specialists</w:t>
            </w:r>
          </w:p>
          <w:p>
            <w:pPr>
              <w:spacing w:after="0" w:before="0"/>
            </w:pPr>
            <w:r>
              <w:rPr>
                <w:rFonts w:ascii="Arial" w:cs="Arial" w:eastAsia="Arial" w:hAnsi="Arial"/>
                <w:color w:val="1A2332"/>
                <w:sz w:val="20"/>
                <w:szCs w:val="20"/>
              </w:rPr>
              <w:t xml:space="preserve">Delivering QA &amp; Testing for UK HealthTech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"healthtech qa testing uk" (~100/mo)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2026-05-25T11:16:26.170Z</dcterms:created>
  <dcterms:modified xsi:type="dcterms:W3CDTF">2026-05-25T11:16:26.170Z</dcterms:modified>
</cp:coreProperties>
</file>

<file path=docProps/custom.xml><?xml version="1.0" encoding="utf-8"?>
<Properties xmlns="http://schemas.openxmlformats.org/officeDocument/2006/custom-properties" xmlns:vt="http://schemas.openxmlformats.org/officeDocument/2006/docPropsVTypes"/>
</file>