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RegTech Automated Regulatory Reporting — UK Asset Manager — ClickMasters Case Study
META DESC: A UK FCA-authorised asset manager with £2.1B AUM was spending 3 days per month manually compiling FCA regulato...
SLUG: /case-studies/regtech-regulatory-reporting-asset-manager/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RegTech Automated Regulatory Reporting — UK Asset Manager</w:t>
      </w:r>
    </w:p>
    <w:p>
      <w:pPr>
        <w:spacing w:after="60" w:before="60"/>
      </w:pPr>
    </w:p>
    <w:p>
      <w:pPr>
        <w:pStyle w:val="Heading1"/>
        <w:spacing w:after="160" w:before="360"/>
      </w:pPr>
      <w:r>
        <w:rPr>
          <w:rFonts w:ascii="Arial" w:cs="Arial" w:eastAsia="Arial" w:hAnsi="Arial"/>
          <w:b/>
          <w:bCs/>
          <w:color w:val="0B1F3A"/>
          <w:sz w:val="40"/>
          <w:szCs w:val="40"/>
        </w:rPr>
        <w:t xml:space="preserve">RegTech Automated Regulatory Reporting — UK Asset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RegTech / Asset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RegTech / Asset Management | Tech: Python/FastAPI, PostgreSQL, FIX protocol parser, Bloomberg API, GLEIF LEI API, DTCC ARM API, DTCC DDR UK API, GABRIEL XML, AWS eu-west-2 | Compliance: FCA GABRIEL, UK MiFIR transaction reporting, EMIR UK, AIFMD, UK GDPR (trade counterparty personal data),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asset manager with £2.1B AUM was spending 3 days per month manually compiling FCA regulatory returns (GABRIEL portal submissions) and had received two FCA data quality queries in the previous year. MiFID II/UK MiFIR transaction reporting, EMIR derivative reporting, and AIFMD fund-level reports were all produced manually from multiple spreadsheets.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Regulatory Data Hub: </w:t>
      </w:r>
      <w:r>
        <w:rPr>
          <w:rFonts w:ascii="Arial" w:cs="Arial" w:eastAsia="Arial" w:hAnsi="Arial"/>
          <w:b w:val="false"/>
          <w:bCs w:val="false"/>
          <w:i w:val="false"/>
          <w:iCs w:val="false"/>
          <w:color w:val="1A2332"/>
          <w:sz w:val="22"/>
          <w:szCs w:val="22"/>
        </w:rPr>
        <w:t xml:space="preserve">Central data repository aggregating data from: OMS (Order Management System — FIX protocol), custody system (REST API), fund accounting system (SFTP CSV export), and Bloomberg (market data via Bloomberg API). Data normalisation layer: every instrument normalised to ISIN, every counterparty normalised to LEI. Single source of truth for all regulatory reporting.</w:t>
      </w:r>
    </w:p>
    <w:p>
      <w:pPr>
        <w:spacing w:after="160" w:before="100"/>
      </w:pPr>
      <w:r>
        <w:rPr>
          <w:rFonts w:ascii="Arial" w:cs="Arial" w:eastAsia="Arial" w:hAnsi="Arial"/>
          <w:b/>
          <w:bCs/>
          <w:i w:val="false"/>
          <w:iCs w:val="false"/>
          <w:color w:val="E8612A"/>
          <w:sz w:val="22"/>
          <w:szCs w:val="22"/>
        </w:rPr>
        <w:t xml:space="preserve">UK MiFIR Transaction Reporting: </w:t>
      </w:r>
      <w:r>
        <w:rPr>
          <w:rFonts w:ascii="Arial" w:cs="Arial" w:eastAsia="Arial" w:hAnsi="Arial"/>
          <w:b w:val="false"/>
          <w:bCs w:val="false"/>
          <w:i w:val="false"/>
          <w:iCs w:val="false"/>
          <w:color w:val="1A2332"/>
          <w:sz w:val="22"/>
          <w:szCs w:val="22"/>
        </w:rPr>
        <w:t xml:space="preserve">UK MiFIR: automated trade record extraction from OMS, ISIN/LEI enrichment from Bloomberg and GLEIF, validation against FCA validation rules (pre-submission), submission via DTCC Approved Reporting Mechanism (ARM). Submission audit trail: every submission logged with file hash, FCA acknowledgement reference, and any rejection/resubmission events.</w:t>
      </w:r>
    </w:p>
    <w:p>
      <w:pPr>
        <w:spacing w:after="160" w:before="100"/>
      </w:pPr>
      <w:r>
        <w:rPr>
          <w:rFonts w:ascii="Arial" w:cs="Arial" w:eastAsia="Arial" w:hAnsi="Arial"/>
          <w:b/>
          <w:bCs/>
          <w:i w:val="false"/>
          <w:iCs w:val="false"/>
          <w:color w:val="E8612A"/>
          <w:sz w:val="22"/>
          <w:szCs w:val="22"/>
        </w:rPr>
        <w:t xml:space="preserve">EMIR Derivative Reporting: </w:t>
      </w:r>
      <w:r>
        <w:rPr>
          <w:rFonts w:ascii="Arial" w:cs="Arial" w:eastAsia="Arial" w:hAnsi="Arial"/>
          <w:b w:val="false"/>
          <w:bCs w:val="false"/>
          <w:i w:val="false"/>
          <w:iCs w:val="false"/>
          <w:color w:val="1A2332"/>
          <w:sz w:val="22"/>
          <w:szCs w:val="22"/>
        </w:rPr>
        <w:t xml:space="preserve">EMIR: OTC derivative trade reporting to a Trade Repository (DTCC DDR UK). Daily UTI (Unique Trade Identifier) generation, counterparty LEI validation (GLEIF API), collateral and valuation reporting. Reconciliation: automated comparison of submitted positions vs custody system positions — discrepancies flagged for review before next submission.</w:t>
      </w:r>
    </w:p>
    <w:p>
      <w:pPr>
        <w:spacing w:after="160" w:before="100"/>
      </w:pPr>
      <w:r>
        <w:rPr>
          <w:rFonts w:ascii="Arial" w:cs="Arial" w:eastAsia="Arial" w:hAnsi="Arial"/>
          <w:b/>
          <w:bCs/>
          <w:i w:val="false"/>
          <w:iCs w:val="false"/>
          <w:color w:val="E8612A"/>
          <w:sz w:val="22"/>
          <w:szCs w:val="22"/>
        </w:rPr>
        <w:t xml:space="preserve">FCA GABRIEL Automation: </w:t>
      </w:r>
      <w:r>
        <w:rPr>
          <w:rFonts w:ascii="Arial" w:cs="Arial" w:eastAsia="Arial" w:hAnsi="Arial"/>
          <w:b w:val="false"/>
          <w:bCs w:val="false"/>
          <w:i w:val="false"/>
          <w:iCs w:val="false"/>
          <w:color w:val="1A2332"/>
          <w:sz w:val="22"/>
          <w:szCs w:val="22"/>
        </w:rPr>
        <w:t xml:space="preserve">GABRIEL portal submissions: Fund Manager Return (FMR), AIFMD reporting, Capital Adequacy Return. Data extracted from the central data hub, mapped to GABRIEL form fields, validated for completeness, and submitted via GABRIEL XML upload. Human review step: compliance officer reviews auto-populated draft, approves, then submits.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£88,000 — under budget. Monthly regulatory reporting time: 3 days → 4 hours. FCA data quality queries: zero in first 12 months post-implementation (vs 2/year previously). MiFIR rejection rate: 8% → 0.3% (pre-submission validation catches errors before FCA rejection). EMIR reconciliation: daily discrepancy check caught 14 position breaks in first 6 months (previously undetected until quarterly reconciliation).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"Three days to four hours per month — and we have not had a single FCA data quality query since go-live. The EMIR daily reconciliation has caught 14 position breaks that would have been material errors in our annual regulatory reconciliation. The MiFIR pre-submission validation alone was worth the investment." — Head of Compliance Technology, UK Asset Manager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PostgreSQL, FIX protocol parser, Bloomberg API, GLEIF LEI API, DTCC ARM API, DTCC DDR UK API, GABRIEL XML,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GABRIEL, UK MiFIR transaction reporting, EMIR UK, AIFMD, UK GDPR (trade counterparty personal data),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regtech software development uk, regulatory reporting automation uk, mifir reporting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2026-05-26T07:58:27.146Z</dcterms:created>
  <dcterms:modified xsi:type="dcterms:W3CDTF">2026-05-26T07:58:27.146Z</dcterms:modified>
</cp:coreProperties>
</file>

<file path=docProps/custom.xml><?xml version="1.0" encoding="utf-8"?>
<Properties xmlns="http://schemas.openxmlformats.org/officeDocument/2006/custom-properties" xmlns:vt="http://schemas.openxmlformats.org/officeDocument/2006/docPropsVTypes"/>
</file>