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Debt Management Platform — UK FCA Authorised Debt Counsellor — ClickMasters Case Study
META DESC: A UK FCA-authorised Debt Management Plan (DMP) provider administering 4,800 active DMPs needed to replace thei...
SLUG: /case-studies/fintech-debt-management-platform-fca/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Debt Management Platform — UK FCA Authorised Debt Counsellor</w:t>
      </w:r>
    </w:p>
    <w:p>
      <w:pPr>
        <w:spacing w:after="60" w:before="60"/>
      </w:pPr>
    </w:p>
    <w:p>
      <w:pPr>
        <w:pStyle w:val="Heading1"/>
        <w:spacing w:after="160" w:before="360"/>
      </w:pPr>
      <w:r>
        <w:rPr>
          <w:rFonts w:ascii="Arial" w:cs="Arial" w:eastAsia="Arial" w:hAnsi="Arial"/>
          <w:b/>
          <w:bCs/>
          <w:color w:val="0B1F3A"/>
          <w:sz w:val="40"/>
          <w:szCs w:val="40"/>
        </w:rPr>
        <w:t xml:space="preserve">FinTech Debt Management Platform — UK FCA Authorised Debt Counsellor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Debt Management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Debt Management | Tech: Next.js, Node.js/Fastify, PostgreSQL, Barclays/HSBC/Lloyds/NatWest creditor APIs, GOV.UK Notify, WeasyPrint, AWS eu-west-2 | Compliance: FCA CONC (Consumer Credit), FCA Consumer Duty (PS22/9),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Debt Management Plan (DMP) provider administering 4,800 active DMPs needed to replace their legacy case management system. FCA CONC (Consumer Credit sourcebook) DMP obligations, FCA Consumer Duty four outcomes, creditor portal API integration (for automated distribution to creditors), and UK GDPR for highly sensitive financial vulnerability data were the compliance requirements. Budget: £110,000.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FCA CONC DMP Compliance Architecture: </w:t>
      </w:r>
      <w:r>
        <w:rPr>
          <w:rFonts w:ascii="Arial" w:cs="Arial" w:eastAsia="Arial" w:hAnsi="Arial"/>
          <w:b w:val="false"/>
          <w:bCs w:val="false"/>
          <w:i w:val="false"/>
          <w:iCs w:val="false"/>
          <w:color w:val="1A2332"/>
          <w:sz w:val="22"/>
          <w:szCs w:val="22"/>
        </w:rPr>
        <w:t xml:space="preserve">CONC 8.3: DMP providers must act in clients' best interests. Platform architecture enforces: no DMP fee until creditor distribution begins (CONC 8.3.3), monthly client statement generation (CONC 8.3.9), annual review prompt (CONC 8.3.6), and client consent to any change in DMP terms. Fair distribution: waterfall distribution algorithm (pro-rata distribution to creditors after DMP fees).</w:t>
      </w:r>
    </w:p>
    <w:p>
      <w:pPr>
        <w:spacing w:after="160" w:before="100"/>
      </w:pPr>
      <w:r>
        <w:rPr>
          <w:rFonts w:ascii="Arial" w:cs="Arial" w:eastAsia="Arial" w:hAnsi="Arial"/>
          <w:b/>
          <w:bCs/>
          <w:i w:val="false"/>
          <w:iCs w:val="false"/>
          <w:color w:val="E8612A"/>
          <w:sz w:val="22"/>
          <w:szCs w:val="22"/>
        </w:rPr>
        <w:t xml:space="preserve">Creditor API Integration: </w:t>
      </w:r>
      <w:r>
        <w:rPr>
          <w:rFonts w:ascii="Arial" w:cs="Arial" w:eastAsia="Arial" w:hAnsi="Arial"/>
          <w:b w:val="false"/>
          <w:bCs w:val="false"/>
          <w:i w:val="false"/>
          <w:iCs w:val="false"/>
          <w:color w:val="1A2332"/>
          <w:sz w:val="22"/>
          <w:szCs w:val="22"/>
        </w:rPr>
        <w:t xml:space="preserve">Major creditor APIs: Barclays, HSBC, Lloyds, NatWest, Capital One, MBNA (via FCA-mandated creditor data sharing standards). Automated distribution notification: each creditor receives payment notification within 24 hours. Creditor acknowledgement tracking: unacknowledged distributions flagged for manual follow-up. Creditor freeze request: automated interest-free/charges-free request via creditor API at DMP setup.</w:t>
      </w:r>
    </w:p>
    <w:p>
      <w:pPr>
        <w:spacing w:after="160" w:before="100"/>
      </w:pPr>
      <w:r>
        <w:rPr>
          <w:rFonts w:ascii="Arial" w:cs="Arial" w:eastAsia="Arial" w:hAnsi="Arial"/>
          <w:b/>
          <w:bCs/>
          <w:i w:val="false"/>
          <w:iCs w:val="false"/>
          <w:color w:val="E8612A"/>
          <w:sz w:val="22"/>
          <w:szCs w:val="22"/>
        </w:rPr>
        <w:t xml:space="preserve">FCA Consumer Duty Vulnerability Framework: </w:t>
      </w:r>
      <w:r>
        <w:rPr>
          <w:rFonts w:ascii="Arial" w:cs="Arial" w:eastAsia="Arial" w:hAnsi="Arial"/>
          <w:b w:val="false"/>
          <w:bCs w:val="false"/>
          <w:i w:val="false"/>
          <w:iCs w:val="false"/>
          <w:color w:val="1A2332"/>
          <w:sz w:val="22"/>
          <w:szCs w:val="22"/>
        </w:rPr>
        <w:t xml:space="preserve">UK Regulators' Financial Lives Survey: DMP clients are a highly vulnerable population. Consumer Duty Consumer Support: additional support channels for vulnerable clients (telephone, accessible digital formats). Consumer Understanding: DMP terms in plain English (Flesch &gt; 65), fee disclosure clear before consent. Vulnerability flag: clients who indicate mental health, financial abuse, or crisis circumstances — routed to specialist support caseworker.</w:t>
      </w:r>
    </w:p>
    <w:p>
      <w:pPr>
        <w:spacing w:after="160" w:before="100"/>
      </w:pPr>
      <w:r>
        <w:rPr>
          <w:rFonts w:ascii="Arial" w:cs="Arial" w:eastAsia="Arial" w:hAnsi="Arial"/>
          <w:b/>
          <w:bCs/>
          <w:i w:val="false"/>
          <w:iCs w:val="false"/>
          <w:color w:val="E8612A"/>
          <w:sz w:val="22"/>
          <w:szCs w:val="22"/>
        </w:rPr>
        <w:t xml:space="preserve">UK GDPR for Financial Vulnerability Data: </w:t>
      </w:r>
      <w:r>
        <w:rPr>
          <w:rFonts w:ascii="Arial" w:cs="Arial" w:eastAsia="Arial" w:hAnsi="Arial"/>
          <w:b w:val="false"/>
          <w:bCs w:val="false"/>
          <w:i w:val="false"/>
          <w:iCs w:val="false"/>
          <w:color w:val="1A2332"/>
          <w:sz w:val="22"/>
          <w:szCs w:val="22"/>
        </w:rPr>
        <w:t xml:space="preserve">DMP client data is among the most sensitive: debt details, income, expenditure, creditor list, payment history, and vulnerability flags. Lawful basis: contract performance. Special category (mental health vulnerability flag): explicit consent. Access control: caseworker sees only their assigned clients. Data minimisation: creditors receive only payment amounts and reference numbers — no client vulnerability data shared with creditors.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14 weeks, £102,000 — under budget. Creditor distribution time: 5 days manual → same-day automated. CONC 8.3 compliance: 100% of clients receiving monthly statements (was 84%). Consumer Duty Consumer Support: 23 vulnerable clients routed to specialist caseworker in first month (previously unidentified). FCA Consumer Duty audit: zero adverse findings. Creditor interest freeze success rate: 94% within 30 days.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"23 vulnerable clients identified in the first month who had never been flagged under the old system. That is the Consumer Duty in action — we are now getting them the specialist support they need. The CONC compliance dashboard has removed the anxiety from every FCA visit." — Head of Compliance, UK DMP Provider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PostgreSQL, Barclays/HSBC/Lloyds/NatWest creditor APIs, GOV.UK Notify, WeasyPrint,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CONC (Consumer Credit), FCA Consumer Duty (PS22/9), UK GDPR,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fintech debt management software uk, dmp platform development uk, fca conc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2026-05-26T14:27:31.660Z</dcterms:created>
  <dcterms:modified xsi:type="dcterms:W3CDTF">2026-05-26T14:27:31.660Z</dcterms:modified>
</cp:coreProperties>
</file>

<file path=docProps/custom.xml><?xml version="1.0" encoding="utf-8"?>
<Properties xmlns="http://schemas.openxmlformats.org/officeDocument/2006/custom-properties" xmlns:vt="http://schemas.openxmlformats.org/officeDocument/2006/docPropsVTypes"/>
</file>