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MedTech Wearable Data Analytics Platform — UK NHS Trust Research — ClickMasters Case Study
META DESC: An NHS Foundation Trust conducting clinical research in cardiac rehabilitation wanted to build a wearable data...
SLUG: /case-studies/medtech-wearable-data-analytics-nhs-research/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MedTech Wearable Data Analytics Platform — UK NHS Trust Research</w:t>
      </w:r>
    </w:p>
    <w:p>
      <w:pPr>
        <w:spacing w:after="60" w:before="60"/>
      </w:pPr>
    </w:p>
    <w:p>
      <w:pPr>
        <w:pStyle w:val="Heading1"/>
        <w:spacing w:after="160" w:before="360"/>
      </w:pPr>
      <w:r>
        <w:rPr>
          <w:rFonts w:ascii="Arial" w:cs="Arial" w:eastAsia="Arial" w:hAnsi="Arial"/>
          <w:b/>
          <w:bCs/>
          <w:color w:val="0B1F3A"/>
          <w:sz w:val="40"/>
          <w:szCs w:val="40"/>
        </w:rPr>
        <w:t xml:space="preserve">MedTech Wearable Data Analytics Platform — UK NHS Trust Research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MedTech / HealthTech Research</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MedTech / HealthTech Research | Tech: Python/FastAPI, PostgreSQL (TimescaleDB), Fitbit Web API, Apple HealthKit, React, AWS eu-west-2 | Compliance: DTAC all 5 domains, DCB0129, MHRA research classification, UK GDPR Article 9(2)(j), NHS Research Governance, HRA ethics, Cyber Essentials Plus, WCAG 2.1 AA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 NHS Foundation Trust conducting clinical research in cardiac rehabilitation wanted to build a wearable data analytics platform — processing continuous heart rate, activity, and sleep data from Fitbit and Apple Watch devices worn by 340 cardiac rehabilitation patients over 12 weeks. MHRA Class IIa medical device classification review, DTAC all 5 domains (research application), UK GDPR Article 9, NHS Research Governance Framework, and HRA (Health Research Authority) ethics approval integration were mandatory. Budget: £85,000.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MHRA Research Use Medical Device Assessment: </w:t>
      </w:r>
      <w:r>
        <w:rPr>
          <w:rFonts w:ascii="Arial" w:cs="Arial" w:eastAsia="Arial" w:hAnsi="Arial"/>
          <w:b w:val="false"/>
          <w:bCs w:val="false"/>
          <w:i w:val="false"/>
          <w:iCs w:val="false"/>
          <w:color w:val="1A2332"/>
          <w:sz w:val="22"/>
          <w:szCs w:val="22"/>
        </w:rPr>
        <w:t xml:space="preserve">Research use of wearable analytics: MHRA assessment — if the platform makes clinical conclusions from wearable data that influence patient management, it is a medical device. Scope definition: platform classified as research data management software (not medical device) by limiting outputs to research data aggregation without clinical decision support. Clinical conclusions drawn by the research clinician, not the software.</w:t>
      </w:r>
    </w:p>
    <w:p>
      <w:pPr>
        <w:spacing w:after="160" w:before="100"/>
      </w:pPr>
      <w:r>
        <w:rPr>
          <w:rFonts w:ascii="Arial" w:cs="Arial" w:eastAsia="Arial" w:hAnsi="Arial"/>
          <w:b/>
          <w:bCs/>
          <w:i w:val="false"/>
          <w:iCs w:val="false"/>
          <w:color w:val="E8612A"/>
          <w:sz w:val="22"/>
          <w:szCs w:val="22"/>
        </w:rPr>
        <w:t xml:space="preserve">Wearable Device Integration: </w:t>
      </w:r>
      <w:r>
        <w:rPr>
          <w:rFonts w:ascii="Arial" w:cs="Arial" w:eastAsia="Arial" w:hAnsi="Arial"/>
          <w:b w:val="false"/>
          <w:bCs w:val="false"/>
          <w:i w:val="false"/>
          <w:iCs w:val="false"/>
          <w:color w:val="1A2332"/>
          <w:sz w:val="22"/>
          <w:szCs w:val="22"/>
        </w:rPr>
        <w:t xml:space="preserve">Fitbit Web API: heart rate, steps, active minutes, sleep stages, SpO2 (blood oxygen). Apple HealthKit: identical metrics via Apple Health Research app. Harmonisation layer: both platforms return different data formats and sampling rates — normalisation to common 1-minute resolution time-series. Missing data handling: wear compliance tracking (percentage of time device worn) — flagged in research dashboard.</w:t>
      </w:r>
    </w:p>
    <w:p>
      <w:pPr>
        <w:spacing w:after="160" w:before="100"/>
      </w:pPr>
      <w:r>
        <w:rPr>
          <w:rFonts w:ascii="Arial" w:cs="Arial" w:eastAsia="Arial" w:hAnsi="Arial"/>
          <w:b/>
          <w:bCs/>
          <w:i w:val="false"/>
          <w:iCs w:val="false"/>
          <w:color w:val="E8612A"/>
          <w:sz w:val="22"/>
          <w:szCs w:val="22"/>
        </w:rPr>
        <w:t xml:space="preserve">UK GDPR Article 9 Research Exemption: </w:t>
      </w:r>
      <w:r>
        <w:rPr>
          <w:rFonts w:ascii="Arial" w:cs="Arial" w:eastAsia="Arial" w:hAnsi="Arial"/>
          <w:b w:val="false"/>
          <w:bCs w:val="false"/>
          <w:i w:val="false"/>
          <w:iCs w:val="false"/>
          <w:color w:val="1A2332"/>
          <w:sz w:val="22"/>
          <w:szCs w:val="22"/>
        </w:rPr>
        <w:t xml:space="preserve">UK GDPR Article 9(2)(j): processing for scientific research is an exemption to the special category prohibition, subject to safeguards. HRA ethics approval as the safeguard. NHS Research Governance Framework: data sharing agreement between the NHS Trust and any research partners. Anonymisation schedule: all data anonymised (k-anonymity ≥5) for publication — identifiable data used only for direct patient care linkage.</w:t>
      </w:r>
    </w:p>
    <w:p>
      <w:pPr>
        <w:spacing w:after="160" w:before="100"/>
      </w:pPr>
      <w:r>
        <w:rPr>
          <w:rFonts w:ascii="Arial" w:cs="Arial" w:eastAsia="Arial" w:hAnsi="Arial"/>
          <w:b/>
          <w:bCs/>
          <w:i w:val="false"/>
          <w:iCs w:val="false"/>
          <w:color w:val="E8612A"/>
          <w:sz w:val="22"/>
          <w:szCs w:val="22"/>
        </w:rPr>
        <w:t xml:space="preserve">DTAC Research Application Evidence: </w:t>
      </w:r>
      <w:r>
        <w:rPr>
          <w:rFonts w:ascii="Arial" w:cs="Arial" w:eastAsia="Arial" w:hAnsi="Arial"/>
          <w:b w:val="false"/>
          <w:bCs w:val="false"/>
          <w:i w:val="false"/>
          <w:iCs w:val="false"/>
          <w:color w:val="1A2332"/>
          <w:sz w:val="22"/>
          <w:szCs w:val="22"/>
        </w:rPr>
        <w:t xml:space="preserve">DTAC Domain 1: DCB0129 clinical safety case (CSO: Consultant Cardiologist PI). Domain 2: HRA ethics approval as GDPR Article 9(2)(j) safeguard, DPIA. Domain 3: Cyber Essentials Plus, CREST pen test. Domain 4: HL7 FHIR R4 for patient demographic data from EPR. Domain 5: accessibility testing (WCAG 2.1 AA) — research staff portal and patient-facing data consent portal.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14 weeks, £78,000 — under budget. DTAC approved all 5 domains. HRA ethics compliance maintained. 340 patients enrolled in 12-week programme. Wearable compliance: 84% of patients achieving ≥80% wear time (target: 70%). Research dataset: 4.2 million heart rate data points, 98.2% completeness. Publication submitted to European Heart Journal: wearable-monitored cardiac rehab showing statistically significant improvement in exercise capacity vs standard care.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HRA ethics compliance architecture was what made the research possible — without it, the ethics board would not have approved the data collection. The TimescaleDB time-series architecture handled 4.2 million data points without performance issues. The paper has been submitted — the data quality was sufficient for peer review." — Consultant Cardiologist PI, NHS Foundation Trust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Python/FastAPI, PostgreSQL (TimescaleDB), Fitbit Web API, Apple HealthKit, React,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DTAC all 5 domains, DCB0129, MHRA research classification, UK GDPR Article 9(2)(j), NHS Research Governance, HRA ethics, Cyber Essentials Plus, WCAG 2.1 AA</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medtech wearable analytics uk, nhs research platform uk, cardiac rehabilitation digital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2026-05-26T21:05:19.631Z</dcterms:created>
  <dcterms:modified xsi:type="dcterms:W3CDTF">2026-05-26T21:05:19.631Z</dcterms:modified>
</cp:coreProperties>
</file>

<file path=docProps/custom.xml><?xml version="1.0" encoding="utf-8"?>
<Properties xmlns="http://schemas.openxmlformats.org/officeDocument/2006/custom-properties" xmlns:vt="http://schemas.openxmlformats.org/officeDocument/2006/docPropsVTypes"/>
</file>