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Universal Credit Change of Circumstances — DWP-Style Local Platform — ClickMasters Case Study
META DESC: A UK local authority administering Housing Benefit (pre-UC migration) needed a digital change of circumstances...
SLUG: /case-studies/govtech-universal-credit-change-circumstances/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Universal Credit Change of Circumstances — DWP-Style Local Platform</w:t>
      </w:r>
    </w:p>
    <w:p>
      <w:pPr>
        <w:spacing w:after="60" w:before="60"/>
      </w:pPr>
    </w:p>
    <w:p>
      <w:pPr>
        <w:pStyle w:val="Heading1"/>
        <w:spacing w:after="160" w:before="360"/>
      </w:pPr>
      <w:r>
        <w:rPr>
          <w:rFonts w:ascii="Arial" w:cs="Arial" w:eastAsia="Arial" w:hAnsi="Arial"/>
          <w:b/>
          <w:bCs/>
          <w:color w:val="0B1F3A"/>
          <w:sz w:val="40"/>
          <w:szCs w:val="40"/>
        </w:rPr>
        <w:t xml:space="preserve">GovTech Universal Credit Change of Circumstances — DWP-Style Local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Benefits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Benefits | Tech: Next.js, GOV.UK Design System, Node.js/Fastify, PostgreSQL, HBIS API, DWP UC API, GOV.UK Notify, ClamAV, AWS eu-west-2 | Compliance: GDS 18-Point Service Standard, WCAG 2.1 AA (PSBAR 2018), UK GDPR (public task basis), Cyber Essentials, ICO registration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local authority administering Housing Benefit (pre-UC migration) needed a digital change of circumstances (CoC) platform to replace their legacy HBIS (Housing Benefit Information System) interface. 12,400 annual CoC submissions were processed via paper forms and phone calls — average processing time 18 days. GDS Service Standard, WCAG 2.1 AA (PSBAR), UK GDPR for benefits personal data, and DWP data sharing requirements for UC migration were the requirements. Budget: £70,000.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GDS-Compliant Digital CoC Journey: </w:t>
      </w:r>
      <w:r>
        <w:rPr>
          <w:rFonts w:ascii="Arial" w:cs="Arial" w:eastAsia="Arial" w:hAnsi="Arial"/>
          <w:b w:val="false"/>
          <w:bCs w:val="false"/>
          <w:i w:val="false"/>
          <w:iCs w:val="false"/>
          <w:color w:val="1A2332"/>
          <w:sz w:val="22"/>
          <w:szCs w:val="22"/>
        </w:rPr>
        <w:t xml:space="preserve">GOV.UK Design System form builder: declarative form components (radios, checkboxes, date inputs, address lookup). Form logic: conditional disclosure (if income changed → which income type → what evidence required). GOV.UK Notify: confirmation email and SMS on submission, progress updates, and decision notifications. WCAG 2.1 AA: manual NVDA testing on every form change. Average form completion: 8 minutes target.</w:t>
      </w:r>
    </w:p>
    <w:p>
      <w:pPr>
        <w:spacing w:after="160" w:before="100"/>
      </w:pPr>
      <w:r>
        <w:rPr>
          <w:rFonts w:ascii="Arial" w:cs="Arial" w:eastAsia="Arial" w:hAnsi="Arial"/>
          <w:b/>
          <w:bCs/>
          <w:i w:val="false"/>
          <w:iCs w:val="false"/>
          <w:color w:val="E8612A"/>
          <w:sz w:val="22"/>
          <w:szCs w:val="22"/>
        </w:rPr>
        <w:t xml:space="preserve">Document Upload and Evidence Management: </w:t>
      </w:r>
      <w:r>
        <w:rPr>
          <w:rFonts w:ascii="Arial" w:cs="Arial" w:eastAsia="Arial" w:hAnsi="Arial"/>
          <w:b w:val="false"/>
          <w:bCs w:val="false"/>
          <w:i w:val="false"/>
          <w:iCs w:val="false"/>
          <w:color w:val="1A2332"/>
          <w:sz w:val="22"/>
          <w:szCs w:val="22"/>
        </w:rPr>
        <w:t xml:space="preserve">GOV.UK-style document upload: drag-and-drop with accessible fallback, file type validation (PDF/JPEG/PNG), maximum size 5MB, virus scanning (ClamAV in Lambda). Evidence workflow: claimant uploads → caseworker review → evidence accepted/rejected with plain-English reason. Rejected evidence: GOV.UK Notify resubmission request with specific guidance.</w:t>
      </w:r>
    </w:p>
    <w:p>
      <w:pPr>
        <w:spacing w:after="160" w:before="100"/>
      </w:pPr>
      <w:r>
        <w:rPr>
          <w:rFonts w:ascii="Arial" w:cs="Arial" w:eastAsia="Arial" w:hAnsi="Arial"/>
          <w:b/>
          <w:bCs/>
          <w:i w:val="false"/>
          <w:iCs w:val="false"/>
          <w:color w:val="E8612A"/>
          <w:sz w:val="22"/>
          <w:szCs w:val="22"/>
        </w:rPr>
        <w:t xml:space="preserve">Benefit Calculation Integration: </w:t>
      </w:r>
      <w:r>
        <w:rPr>
          <w:rFonts w:ascii="Arial" w:cs="Arial" w:eastAsia="Arial" w:hAnsi="Arial"/>
          <w:b w:val="false"/>
          <w:bCs w:val="false"/>
          <w:i w:val="false"/>
          <w:iCs w:val="false"/>
          <w:color w:val="1A2332"/>
          <w:sz w:val="22"/>
          <w:szCs w:val="22"/>
        </w:rPr>
        <w:t xml:space="preserve">HBIS API integration: read current Housing Benefit entitlement, submit CoC event, receive new entitlement calculation. Automated overpayment detection: if reported CoC changes have retroactive effect, flag for caseworker overpayment decision. DWP Universal Credit API (pilot): data sharing for claimants migrating to UC — Housing Benefit termination event sent to DWP UC system.</w:t>
      </w:r>
    </w:p>
    <w:p>
      <w:pPr>
        <w:spacing w:after="160" w:before="100"/>
      </w:pPr>
      <w:r>
        <w:rPr>
          <w:rFonts w:ascii="Arial" w:cs="Arial" w:eastAsia="Arial" w:hAnsi="Arial"/>
          <w:b/>
          <w:bCs/>
          <w:i w:val="false"/>
          <w:iCs w:val="false"/>
          <w:color w:val="E8612A"/>
          <w:sz w:val="22"/>
          <w:szCs w:val="22"/>
        </w:rPr>
        <w:t xml:space="preserve">UK GDPR Benefits Data Protections: </w:t>
      </w:r>
      <w:r>
        <w:rPr>
          <w:rFonts w:ascii="Arial" w:cs="Arial" w:eastAsia="Arial" w:hAnsi="Arial"/>
          <w:b w:val="false"/>
          <w:bCs w:val="false"/>
          <w:i w:val="false"/>
          <w:iCs w:val="false"/>
          <w:color w:val="1A2332"/>
          <w:sz w:val="22"/>
          <w:szCs w:val="22"/>
        </w:rPr>
        <w:t xml:space="preserve">Benefits data is sensitive — financial vulnerability, disability, domestic circumstances. UK GDPR basis: public task (Housing Benefit is a statutory function). Data minimisation: digital CoC collects only what HBIS requires — no additional fields. Access control: caseworker sees only their allocated caseload. Vulnerable claimants: flag for additional telephone support offered. Retention: 7 years post-entitlement (statutory).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12 weeks, £64,000 — under budget. Digital CoC adoption: 78% within 6 months (paper+phone: 100% at launch). Processing time: 18 days → 6.2 days average. Caseworker time per case: 45 minutes → 28 minutes. GDS Beta assessment: passed first attempt. WCAG 2.1 AA: zero non-compliances found in Cabinet Office monitoring. DWP CoC data sharing: 94% of UC migration cases handled via digital platform.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"18 days to 6 days processing time. For a claimant waiting for their rent to be paid, that is not an administrative metric — that is whether they get evicted. GDS first attempt. WCAG zero issues. The DWP data sharing integration prepared us for UC migration better than any other local authority in our region." — Head of Housing Benefit, UK Local Authority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HBIS API, DWP UC API, GOV.UK Notify, ClamAV,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18-Point Service Standard, WCAG 2.1 AA (PSBAR 2018), UK GDPR (public task basis), Cyber Essentials, ICO registration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housing benefit digital uk, change of circumstances platform uk, local authority benefits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2026-05-26T21:05:19.670Z</dcterms:created>
  <dcterms:modified xsi:type="dcterms:W3CDTF">2026-05-26T21:05:19.670Z</dcterms:modified>
</cp:coreProperties>
</file>

<file path=docProps/custom.xml><?xml version="1.0" encoding="utf-8"?>
<Properties xmlns="http://schemas.openxmlformats.org/officeDocument/2006/custom-properties" xmlns:vt="http://schemas.openxmlformats.org/officeDocument/2006/docPropsVTypes"/>
</file>