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Multi-Currency Expense Management — UK Scale-Up — ClickMasters Case Study
META DESC: A UK scale-up with 840 employees across 18 countries needed to replace Concur (£180,000/year licence) with a b...
SLUG: /case-studies/fintech-multi-currency-expense-management/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Multi-Currency Expense Management — UK Scale-Up</w:t>
      </w:r>
    </w:p>
    <w:p>
      <w:pPr>
        <w:spacing w:after="60" w:before="60"/>
      </w:pPr>
    </w:p>
    <w:p>
      <w:pPr>
        <w:pStyle w:val="Heading1"/>
        <w:spacing w:after="160" w:before="360"/>
      </w:pPr>
      <w:r>
        <w:rPr>
          <w:rFonts w:ascii="Arial" w:cs="Arial" w:eastAsia="Arial" w:hAnsi="Arial"/>
          <w:b/>
          <w:bCs/>
          <w:color w:val="0B1F3A"/>
          <w:sz w:val="40"/>
          <w:szCs w:val="40"/>
        </w:rPr>
        <w:t xml:space="preserve">FinTech Multi-Currency Expense Management — UK Scale-Up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Expense Management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Expense Management | Tech: React Native (mobile), React (web), Node.js/Fastify, PostgreSQL, ECB rates API, Google Cloud Vision, HMRC MTD VAT API, AWS eu-west-2 | Compliance: UK GDPR (employee financial data), HMRC MTD, FRS 102 (UK GAAP), IFRS 16, IR35 off-payroll rules, VAT reclaim rules,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scale-up with 840 employees across 18 countries needed to replace Concur (£180,000/year licence) with a bespoke multi-currency expense management platform. FCA Consumer Duty (if offering expense card product), UK GDPR for employee financial data, HMRC FRS 102 compliance for expense accounting, IR35 (contractor expense claims), VAT reclaim automation (HMRC VAT API), and IFRS 16 (lease accounting for car expenses) were the requirements.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Multi-Currency Expense Architecture: </w:t>
      </w:r>
      <w:r>
        <w:rPr>
          <w:rFonts w:ascii="Arial" w:cs="Arial" w:eastAsia="Arial" w:hAnsi="Arial"/>
          <w:b w:val="false"/>
          <w:bCs w:val="false"/>
          <w:i w:val="false"/>
          <w:iCs w:val="false"/>
          <w:color w:val="1A2332"/>
          <w:sz w:val="22"/>
          <w:szCs w:val="22"/>
        </w:rPr>
        <w:t xml:space="preserve">Base currency: GBP. 18 transaction currencies. Exchange rates: European Central Bank (ECB) XML data feed (daily official rates), Open Exchange Rates API for real-time rates. Expense submission: employee submits in local currency → platform converts to GBP at submission-date ECB rate → reimbursement in employee's local currency at current ECB rate (foreign exchange gain/loss tracked per expense). Receipt OCR: Google Cloud Vision API — merchant, amount, date, currency extracted automatically.</w:t>
      </w:r>
    </w:p>
    <w:p>
      <w:pPr>
        <w:spacing w:after="160" w:before="100"/>
      </w:pPr>
      <w:r>
        <w:rPr>
          <w:rFonts w:ascii="Arial" w:cs="Arial" w:eastAsia="Arial" w:hAnsi="Arial"/>
          <w:b/>
          <w:bCs/>
          <w:i w:val="false"/>
          <w:iCs w:val="false"/>
          <w:color w:val="E8612A"/>
          <w:sz w:val="22"/>
          <w:szCs w:val="22"/>
        </w:rPr>
        <w:t xml:space="preserve">HMRC MTD VAT Reclaim Integration: </w:t>
      </w:r>
      <w:r>
        <w:rPr>
          <w:rFonts w:ascii="Arial" w:cs="Arial" w:eastAsia="Arial" w:hAnsi="Arial"/>
          <w:b w:val="false"/>
          <w:bCs w:val="false"/>
          <w:i w:val="false"/>
          <w:iCs w:val="false"/>
          <w:color w:val="1A2332"/>
          <w:sz w:val="22"/>
          <w:szCs w:val="22"/>
        </w:rPr>
        <w:t xml:space="preserve">HMRC Making Tax Digital VAT API: automated VAT reclaim data extraction from expense claims. UK VAT reclaim rules: standard rate VAT (20%) on business expenses with valid VAT receipt, partial reclaim on fuel (HMRC Advisory Fuel Rate), no reclaim on employee entertaining. VAT return data: automatically tagged expense categories → VAT return box population. Input tax claim: Box 4 (VAT reclaimed on purchases) automated from categorised expenses.</w:t>
      </w:r>
    </w:p>
    <w:p>
      <w:pPr>
        <w:spacing w:after="160" w:before="100"/>
      </w:pPr>
      <w:r>
        <w:rPr>
          <w:rFonts w:ascii="Arial" w:cs="Arial" w:eastAsia="Arial" w:hAnsi="Arial"/>
          <w:b/>
          <w:bCs/>
          <w:i w:val="false"/>
          <w:iCs w:val="false"/>
          <w:color w:val="E8612A"/>
          <w:sz w:val="22"/>
          <w:szCs w:val="22"/>
        </w:rPr>
        <w:t xml:space="preserve">FRS 102 Expense Accounting: </w:t>
      </w:r>
      <w:r>
        <w:rPr>
          <w:rFonts w:ascii="Arial" w:cs="Arial" w:eastAsia="Arial" w:hAnsi="Arial"/>
          <w:b w:val="false"/>
          <w:bCs w:val="false"/>
          <w:i w:val="false"/>
          <w:iCs w:val="false"/>
          <w:color w:val="1A2332"/>
          <w:sz w:val="22"/>
          <w:szCs w:val="22"/>
        </w:rPr>
        <w:t xml:space="preserve">FRS 102 (UK GAAP): employee expense accruals at month-end for submitted but unpaid claims, foreign currency transactions at transaction date rate (FRS 102 Section 30), and related party disclosure (director expense claims exceeding normal business rates flagged). IFRS 16 lease identification: car expenses categorised by duration and amount — IFRS 16 right-of-use asset candidates automatically flagged for finance team review.</w:t>
      </w:r>
    </w:p>
    <w:p>
      <w:pPr>
        <w:spacing w:after="160" w:before="100"/>
      </w:pPr>
      <w:r>
        <w:rPr>
          <w:rFonts w:ascii="Arial" w:cs="Arial" w:eastAsia="Arial" w:hAnsi="Arial"/>
          <w:b/>
          <w:bCs/>
          <w:i w:val="false"/>
          <w:iCs w:val="false"/>
          <w:color w:val="E8612A"/>
          <w:sz w:val="22"/>
          <w:szCs w:val="22"/>
        </w:rPr>
        <w:t xml:space="preserve">IR35 Contractor Expense Handling: </w:t>
      </w:r>
      <w:r>
        <w:rPr>
          <w:rFonts w:ascii="Arial" w:cs="Arial" w:eastAsia="Arial" w:hAnsi="Arial"/>
          <w:b w:val="false"/>
          <w:bCs w:val="false"/>
          <w:i w:val="false"/>
          <w:iCs w:val="false"/>
          <w:color w:val="1A2332"/>
          <w:sz w:val="22"/>
          <w:szCs w:val="22"/>
        </w:rPr>
        <w:t xml:space="preserve">Off-payroll working (IR35): contractor expenses have different tax treatment from employee expenses. Platform: contractor/employee flag per user, contractor expense types restricted to genuine business expenses (no home-to-work travel — not allowable for contractors), HMRC approved mileage rates for contractor travel, and P11D reporting — benefits in kind calculation for contractors where applicable.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18 weeks, £128,000 — under budget. Concur replaced: £180,000 annual licence saving. Expense claim processing time: 3.2 days → 4.2 hours. VAT reclaim accuracy: 94% automatic vs 78% manual (accountant review). Receipt OCR accuracy: 91% (vs 100% manual but 40× slower). FRS 102 month-end accrual: automated — previously 2-day finance team exercise. IR35 contractor expense flags: 12 incorrectly categorised claims identified in first quarter (preventing potential HMRC investigation).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"£180,000 annual licence saving from replacing Concur was the commercial case. 4.2 hours versus 3.2 days for expense processing is the operational benefit. The VAT reclaim accuracy improvement from 78% to 94% pays for the platform's build cost in recovered VAT annually. The IR35 contractor expense flags in Q1 identified 12 incorrect claims — potentially significant HMRC exposure avoided." — CFO, UK Scale-Up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(mobile), React (web), Node.js/Fastify, PostgreSQL, ECB rates API, Google Cloud Vision, HMRC MTD VAT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(employee financial data), HMRC MTD, FRS 102 (UK GAAP), IFRS 16, IR35 off-payroll rules, VAT reclaim rules,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expense management software uk, multi-currency expense platform uk, hmrc mtd vat reclaim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2026-05-28T20:34:55.063Z</dcterms:created>
  <dcterms:modified xsi:type="dcterms:W3CDTF">2026-05-28T20:34:55.063Z</dcterms:modified>
</cp:coreProperties>
</file>

<file path=docProps/custom.xml><?xml version="1.0" encoding="utf-8"?>
<Properties xmlns="http://schemas.openxmlformats.org/officeDocument/2006/custom-properties" xmlns:vt="http://schemas.openxmlformats.org/officeDocument/2006/docPropsVTypes"/>
</file>