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Stripe vs Adyen vs Braintree — UK Payment Processing (2025) | ClickMasters
META DESC: Stripe is the right default for UK startups and scale-ups: best developer experience, fastest integration, transparent pricing, and Stripe Tax handles UK VAT an
SLUG: /stripe-vs-adyen-vs-braintree-uk/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Stripe vs Adyen vs Braintree — UK Payment Processing (2025)</w:t>
      </w:r>
    </w:p>
    <w:p>
      <w:pPr>
        <w:spacing w:after="60" w:before="60"/>
      </w:pPr>
    </w:p>
    <w:p>
      <w:pPr>
        <w:pStyle w:val="Heading1"/>
        <w:spacing w:after="160" w:before="360"/>
      </w:pPr>
      <w:r>
        <w:rPr>
          <w:rFonts w:ascii="Arial" w:cs="Arial" w:eastAsia="Arial" w:hAnsi="Arial"/>
          <w:b/>
          <w:bCs/>
          <w:color w:val="0B1F3A"/>
          <w:sz w:val="40"/>
          <w:szCs w:val="40"/>
        </w:rPr>
        <w:t xml:space="preserve">Stripe vs Adyen vs Braintree — UK Payment Processing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Stripe is the right default for UK startups and scale-ups: best developer experience, fastest integration, transparent pricing, and Stripe Tax handles UK VAT and EU VAT OSS automatically. Adyen is better for enterprise UK businesses processing £50M+ annually: interchange-plus pricing beats Stripe at volume, and Adyen's unified commerce (online + in-person via Adyen terminal) is best-in-class. Braintree is declining — owned by PayPal, developer experience significantly below Stripe.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Payment processor choice affects developer integration time, processing costs at scale, FCA Consumer Duty Consumer Understanding (checkout experience), and UK GDPR compliance posture.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Stripe vs Adyen vs Braintree — UK Payment Processing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Stripe</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Adyen</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Braintree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experience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docs, SDKs, dashboard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more complex integration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Declining — dated SDK</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pricing (cards)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 + 20p (UK cards)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Interchange++ (cheaper at volume)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Similar to Stripe — less transparent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VAT / EU VAT OSS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Stripe Tax — automated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or third-party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PCI-DSS scope reduction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Stripe Elements — SAQ-A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Drop-in — SAQ-A</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Drop-in — SAQ-A</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Consumer Duty UX</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Stripe Elements — accessible, WCAG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Direct Debit (Bacs)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 Mandates — good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Adyen for Platforms — 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native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Omnichannel (online + POS)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Terminal (limited UK stock)</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Adyen Terminal — best unified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Braintree is online-only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region available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region available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region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recommendation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Startups/scale-ups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Enterprise/omnichannel</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 — use Stripe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At what volume does Adyen become cheaper than Stripe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Adyen's interchange-plus pricing typically becomes cheaper than Stripe's fixed percentage at approximately £500,000–£1M monthly processing volume for UK cards. Below that volume: Stripe's flat rate is simpler and typically cheaper when accounting for Adyen's monthly minimum fees (Adyen charges processing fees per transaction + monthly service fee). ClickMasters recommends Stripe for all projects unless the client processes £500K+ monthly.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Stripe satisfy FCA Consumer Duty for payment UX?</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Stripe Elements is designed to be accessible (WCAG 2.1 AA compliant), clear (no dark patterns in the payment form), and transparent (amounts and recurring terms clearly displayed). For FCA Consumer Duty Consumer Understanding: Stripe Elements satisfies the "clear, fair and not misleading" standard for payment interface design. FCA CONC (consumer credit) additional disclosures for BNPL or credit products must be added separately — Stripe does not handle these automatically.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Stripe vs GoCardless UK: /stripe-vs-gocardless-uk/</w:t>
      </w:r>
    </w:p>
    <w:p>
      <w:pPr>
        <w:pStyle w:val="ListParagraph"/>
        <w:numPr>
          <w:ilvl w:val="0"/>
          <w:numId w:val="2"/>
        </w:numPr>
        <w:spacing w:after="60" w:before="60"/>
      </w:pPr>
      <w:r>
        <w:rPr>
          <w:rFonts w:ascii="Arial" w:cs="Arial" w:eastAsia="Arial" w:hAnsi="Arial"/>
          <w:color w:val="1A4A8A"/>
          <w:sz w:val="22"/>
          <w:szCs w:val="22"/>
        </w:rPr>
        <w:t xml:space="preserve">PCI-DSS Software Development Guide UK: /pci-dss-software-development-guide/</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"stripe vs adyen vs braintree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2026-05-28T20:34:55.306Z</dcterms:created>
  <dcterms:modified xsi:type="dcterms:W3CDTF">2026-05-28T20:34:55.306Z</dcterms:modified>
</cp:coreProperties>
</file>

<file path=docProps/custom.xml><?xml version="1.0" encoding="utf-8"?>
<Properties xmlns="http://schemas.openxmlformats.org/officeDocument/2006/custom-properties" xmlns:vt="http://schemas.openxmlformats.org/officeDocument/2006/docPropsVTypes"/>
</file>