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Cloud-Native Development for LegalTech UK | ClickMasters
META DESC: Cloud-Native Development for UK LegalTech. SRA Code of Conduct. £25,000–£130,000.
SLUG: /legaltech-cloud-native-development/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LegalTech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LegalTech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Cloud-Native Development for LegalTech</w:t>
      </w:r>
    </w:p>
    <w:p>
      <w:pPr>
        <w:spacing w:after="60" w:before="60"/>
      </w:pPr>
    </w:p>
    <w:p>
      <w:pPr>
        <w:pStyle w:val="Heading1"/>
        <w:spacing w:after="160" w:before="360"/>
      </w:pPr>
      <w:r>
        <w:rPr>
          <w:rFonts w:ascii="Arial" w:cs="Arial" w:eastAsia="Arial" w:hAnsi="Arial"/>
          <w:b/>
          <w:bCs/>
          <w:color w:val="0B1F3A"/>
          <w:sz w:val="40"/>
          <w:szCs w:val="40"/>
        </w:rPr>
        <w:t xml:space="preserve">Cloud-Native Development for UK LegalTech — SRA Code of Conduct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LegalTech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SRA Code of Conduct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£25,000–£130,000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Cloud-Native Development for UK LegalTech businesses with SRA Code of Conduct,  UK GDPR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Cloud-Native Development for LegalTech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LegalTech Multi-Tenancy and Client Confidentiality: </w:t>
      </w:r>
      <w:r>
        <w:rPr>
          <w:rFonts w:ascii="Arial" w:cs="Arial" w:eastAsia="Arial" w:hAnsi="Arial"/>
          <w:b w:val="false"/>
          <w:bCs w:val="false"/>
          <w:i w:val="false"/>
          <w:iCs w:val="false"/>
          <w:color w:val="1A2332"/>
          <w:sz w:val="22"/>
          <w:szCs w:val="22"/>
        </w:rPr>
        <w:t xml:space="preserve">SRA Code of Conduct: client confidentiality is a fundamental solicitor obligation. LegalTech cloud-native multi-tenancy: each law firm is a separate tenant — matter data for firm A must never be accessible to firm B (even by platform administrators). Implementation: PostgreSQL RLS (Row Level Security) per firm, separate encryption keys per firm (AWS KMS customer-managed keys), and complete data isolation in API responses (JWT claims identify firm — server-side filtering on all queries).</w:t>
      </w:r>
    </w:p>
    <w:p>
      <w:pPr>
        <w:spacing w:after="60" w:before="60"/>
      </w:pPr>
    </w:p>
    <w:p>
      <w:pPr>
        <w:spacing w:after="160" w:before="100"/>
      </w:pPr>
      <w:r>
        <w:rPr>
          <w:rFonts w:ascii="Arial" w:cs="Arial" w:eastAsia="Arial" w:hAnsi="Arial"/>
          <w:b/>
          <w:bCs/>
          <w:i w:val="false"/>
          <w:iCs w:val="false"/>
          <w:color w:val="E8612A"/>
          <w:sz w:val="22"/>
          <w:szCs w:val="22"/>
        </w:rPr>
        <w:t xml:space="preserve">Legal Professional Privilege in Cloud Architecture: </w:t>
      </w:r>
      <w:r>
        <w:rPr>
          <w:rFonts w:ascii="Arial" w:cs="Arial" w:eastAsia="Arial" w:hAnsi="Arial"/>
          <w:b w:val="false"/>
          <w:bCs w:val="false"/>
          <w:i w:val="false"/>
          <w:iCs w:val="false"/>
          <w:color w:val="1A2332"/>
          <w:sz w:val="22"/>
          <w:szCs w:val="22"/>
        </w:rPr>
        <w:t xml:space="preserve">LPP (Legal Professional Privilege): legal advice given by a solicitor to a client is protected from disclosure. Cloud architecture for LPP: privileged communications (advice emails, legal memos, draft documents) tagged with LPP flag, LPP data excluded from any analytics or AI processing without explicit client consent, and cloud administrator access to LPP data logged and auditable. ICO and courts have addressed LPP in cloud contexts — cloud storage of privileged communications requires appropriate protections.</w:t>
      </w:r>
    </w:p>
    <w:p>
      <w:pPr>
        <w:spacing w:after="60" w:before="60"/>
      </w:pPr>
    </w:p>
    <w:p>
      <w:pPr>
        <w:spacing w:after="160" w:before="100"/>
      </w:pPr>
      <w:r>
        <w:rPr>
          <w:rFonts w:ascii="Arial" w:cs="Arial" w:eastAsia="Arial" w:hAnsi="Arial"/>
          <w:b/>
          <w:bCs/>
          <w:i w:val="false"/>
          <w:iCs w:val="false"/>
          <w:color w:val="E8612A"/>
          <w:sz w:val="22"/>
          <w:szCs w:val="22"/>
        </w:rPr>
        <w:t xml:space="preserve">SRA Compliance in LegalTech CI/CD: </w:t>
      </w:r>
      <w:r>
        <w:rPr>
          <w:rFonts w:ascii="Arial" w:cs="Arial" w:eastAsia="Arial" w:hAnsi="Arial"/>
          <w:b w:val="false"/>
          <w:bCs w:val="false"/>
          <w:i w:val="false"/>
          <w:iCs w:val="false"/>
          <w:color w:val="1A2332"/>
          <w:sz w:val="22"/>
          <w:szCs w:val="22"/>
        </w:rPr>
        <w:t xml:space="preserve">SRA audit readiness: law firm technology systems may be subject to SRA inspection. LegalTech CI/CD: all production deployments via automated pipeline (audit trail in GitHub Actions — no manual production access), penetration testing before major releases (CREST-certified — SRA expects appropriate security testing), and change management documentation (SRA expects controlled change processes for client data systems). ISO 27001 certification signals to SRA that the platform has a mature ISMS.</w:t>
      </w:r>
    </w:p>
    <w:p>
      <w:pPr>
        <w:spacing w:after="60" w:before="60"/>
      </w:pPr>
    </w:p>
    <w:p>
      <w:pPr>
        <w:spacing w:after="160" w:before="100"/>
      </w:pPr>
      <w:r>
        <w:rPr>
          <w:rFonts w:ascii="Arial" w:cs="Arial" w:eastAsia="Arial" w:hAnsi="Arial"/>
          <w:b/>
          <w:bCs/>
          <w:i w:val="false"/>
          <w:iCs w:val="false"/>
          <w:color w:val="E8612A"/>
          <w:sz w:val="22"/>
          <w:szCs w:val="22"/>
        </w:rPr>
        <w:t xml:space="preserve">Court Filing System Integrations: </w:t>
      </w:r>
      <w:r>
        <w:rPr>
          <w:rFonts w:ascii="Arial" w:cs="Arial" w:eastAsia="Arial" w:hAnsi="Arial"/>
          <w:b w:val="false"/>
          <w:bCs w:val="false"/>
          <w:i w:val="false"/>
          <w:iCs w:val="false"/>
          <w:color w:val="1A2332"/>
          <w:sz w:val="22"/>
          <w:szCs w:val="22"/>
        </w:rPr>
        <w:t xml:space="preserve">UK court system digital integrations: HMCTS Common Platform API (case management, hearing listings), MyHMCTS (court filing portal for legal professionals), CE File (Court Electronic Filing — commercial court), and Land Registry portal (property dispute filings). ClickMasters has integrated LegalTech platforms with HMCTS Common Platform for automated case status monitoring and hearing date alerts. HMCTS API access: application to HMCTS Digital and Technology via the HMCTS developer portal.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SRA Code of Conduct, UK GDPR, Legal Professional Privilege, Cyber Essentials, ISO 27001</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LegalTech Cloud-Native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£25,000–£130,000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LegalTech SaaS need ISO 27001?</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ISO 27001 is increasingly required by UK law firms purchasing LegalTech SaaS — particularly for platforms handling sensitive client data. SRA guidance on outsourcing: law firms must conduct due diligence on technology suppliers handling client data (SRA Outcome 7.10). ISO 27001 provides the strongest evidence of information security management. ClickMasters recommends LegalTech SaaS companies obtain ISO 27001 before targeting top-50 UK law firm clients — they will require 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handle GDPR Right to Erasure for law firm client data?</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LegalTech UK GDPR Article 17 (Right to Erasure): law firms are data controllers for their client data. LegalTech SaaS is a data processor. Right to erasure: law firm (controller) can request erasure of client data for legitimate erasure requests. Complication: SRA retention obligations (6 years post-matter close) and professional indemnity insurance requirements mean some matter data cannot be erased even if requested. LegalTech SaaS must provide: per-client data export, per-client data deletion for data beyond retention period, and audit log of deletion actions.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LegalTech Software Development UK: /legaltech-software-development/</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ISO 27001 Certification Guide UK: /iso-27001-certification-guide-uk/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LegalTech Cloud-Native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LegalTech Team</w:t>
            </w:r>
          </w:p>
          <w:p>
            <w:pPr>
              <w:spacing w:after="80" w:before="0"/>
            </w:pPr>
            <w:r>
              <w:rPr>
                <w:rFonts w:ascii="Arial" w:cs="Arial" w:eastAsia="Arial" w:hAnsi="Arial"/>
                <w:b/>
                <w:bCs/>
                <w:color w:val="E8612A"/>
                <w:sz w:val="20"/>
                <w:szCs w:val="20"/>
              </w:rPr>
              <w:t xml:space="preserve">LegalTech specialists</w:t>
            </w:r>
          </w:p>
          <w:p>
            <w:pPr>
              <w:spacing w:after="0" w:before="0"/>
            </w:pPr>
            <w:r>
              <w:rPr>
                <w:rFonts w:ascii="Arial" w:cs="Arial" w:eastAsia="Arial" w:hAnsi="Arial"/>
                <w:color w:val="1A2332"/>
                <w:sz w:val="20"/>
                <w:szCs w:val="20"/>
              </w:rPr>
              <w:t xml:space="preserve">Delivering Cloud-Native Development for UK LegalTech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"legaltech cloud native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2026-05-31T03:08:49.680Z</dcterms:created>
  <dcterms:modified xsi:type="dcterms:W3CDTF">2026-05-31T03:08:49.680Z</dcterms:modified>
</cp:coreProperties>
</file>

<file path=docProps/custom.xml><?xml version="1.0" encoding="utf-8"?>
<Properties xmlns="http://schemas.openxmlformats.org/officeDocument/2006/custom-properties" xmlns:vt="http://schemas.openxmlformats.org/officeDocument/2006/docPropsVTypes"/>
</file>