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HealthTech NHS Digital Outpatient Waiting List Platform — Foundation Trust — ClickMasters Case Study
META DESC: An NHS Foundation Trust with 48,000 patients on outpatient waiting lists and an 18-week Referral to Treatment ...
SLUG: /case-studies/healthtech-nhs-digital-outpatient-waiting/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October 2025  |  Reading time: 6 min  |  Written by: ClickMasters Case Study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Case Studies</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HealthTech NHS Digital Outpatient Waiting List Platform — Foundation Trust</w:t>
      </w:r>
    </w:p>
    <w:p>
      <w:pPr>
        <w:spacing w:after="60" w:before="60"/>
      </w:pPr>
    </w:p>
    <w:p>
      <w:pPr>
        <w:pStyle w:val="Heading1"/>
        <w:spacing w:after="160" w:before="360"/>
      </w:pPr>
      <w:r>
        <w:rPr>
          <w:rFonts w:ascii="Arial" w:cs="Arial" w:eastAsia="Arial" w:hAnsi="Arial"/>
          <w:b/>
          <w:bCs/>
          <w:color w:val="0B1F3A"/>
          <w:sz w:val="40"/>
          <w:szCs w:val="40"/>
        </w:rPr>
        <w:t xml:space="preserve">HealthTech NHS Digital Outpatient Waiting List Platform — Foundation Trust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HealthTech / Waiting Lists</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On Time</w:t>
            </w:r>
          </w:p>
        </w:tc>
        <w:tc>
          <w:tcPr>
            <w:tcW w:type="dxa" w:w="2256"/>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Fixed Price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Sector: HealthTech / Waiting Lists | Tech: React, Node.js/Fastify, PostgreSQL, NHS eRS FHIR R4, NHS PAS FHIR R4, GOV.UK Notify, AWS eu-west-2 | Compliance: DTAC all 5 domains, DCB0129, NHS RTT rules, NHS eRS integration policy, UK GDPR Article 9, NHS DSP Toolkit, WCAG 2.1 AA, Cyber Essentials Plus</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Challenge</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An NHS Foundation Trust with 48,000 patients on outpatient waiting lists and an 18-week Referral to Treatment (RTT) compliance rate of 61% (target: 92%) needed a digital waiting list management platform — replacing paper-based and Excel waiting list tracking. NHS DTAC all 5 domains, DCB0129 (waiting list errors cause patient harm — delayed treatment), NHS PAS FHIR R4 integration, NHS e-Referral Service, WCAG 2.1 AA, and UK GDPR Article 9 were mandatory. Budget: £80,000.</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Our Approach</w:t>
            </w:r>
          </w:p>
        </w:tc>
      </w:tr>
    </w:tbl>
    <w:p>
      <w:pPr>
        <w:spacing w:after="60" w:before="60"/>
      </w:pPr>
    </w:p>
    <w:p>
      <w:pPr>
        <w:spacing w:after="160" w:before="100"/>
      </w:pPr>
      <w:r>
        <w:rPr>
          <w:rFonts w:ascii="Arial" w:cs="Arial" w:eastAsia="Arial" w:hAnsi="Arial"/>
          <w:b/>
          <w:bCs/>
          <w:i w:val="false"/>
          <w:iCs w:val="false"/>
          <w:color w:val="E8612A"/>
          <w:sz w:val="22"/>
          <w:szCs w:val="22"/>
        </w:rPr>
        <w:t xml:space="preserve">RTT Clock Management and Breach Prevention: </w:t>
      </w:r>
      <w:r>
        <w:rPr>
          <w:rFonts w:ascii="Arial" w:cs="Arial" w:eastAsia="Arial" w:hAnsi="Arial"/>
          <w:b w:val="false"/>
          <w:bCs w:val="false"/>
          <w:i w:val="false"/>
          <w:iCs w:val="false"/>
          <w:color w:val="1A2332"/>
          <w:sz w:val="22"/>
          <w:szCs w:val="22"/>
        </w:rPr>
        <w:t xml:space="preserve">NHS 18-week RTT standard: patient referred by GP → first definitive treatment within 18 weeks (126 calendar days). RTT clock start: first outpatient appointment following referral from NHS eRS. Clock stop: first definitive treatment (first appointment, diagnosis, or surgical procedure). Platform: per-patient RTT clock (days elapsed, current milestone, next action due), breach risk alert at 16 weeks (2 weeks remaining), automatic escalation to waiting list coordinator at 17 weeks, and breach notification to clinical governance at 18 weeks (1 day before breach).</w:t>
      </w:r>
    </w:p>
    <w:p>
      <w:pPr>
        <w:spacing w:after="160" w:before="100"/>
      </w:pPr>
      <w:r>
        <w:rPr>
          <w:rFonts w:ascii="Arial" w:cs="Arial" w:eastAsia="Arial" w:hAnsi="Arial"/>
          <w:b/>
          <w:bCs/>
          <w:i w:val="false"/>
          <w:iCs w:val="false"/>
          <w:color w:val="E8612A"/>
          <w:sz w:val="22"/>
          <w:szCs w:val="22"/>
        </w:rPr>
        <w:t xml:space="preserve">NHS eRS Integration and Referral Triage: </w:t>
      </w:r>
      <w:r>
        <w:rPr>
          <w:rFonts w:ascii="Arial" w:cs="Arial" w:eastAsia="Arial" w:hAnsi="Arial"/>
          <w:b w:val="false"/>
          <w:bCs w:val="false"/>
          <w:i w:val="false"/>
          <w:iCs w:val="false"/>
          <w:color w:val="1A2332"/>
          <w:sz w:val="22"/>
          <w:szCs w:val="22"/>
        </w:rPr>
        <w:t xml:space="preserve">NHS e-Referral Service FHIR R4: inbound referrals received via eRS appointment request (FHIR R4 ServiceRequest). Triage: referral received → clinical triage (urgency categorisation — routine 18 weeks, urgent 2 weeks, 2-week wait cancer). Appointment booking: outpatient appointment booked in NHS PAS (Patient Administration System) via FHIR R4 Appointment resource. Appointment reminder: GOV.UK Notify 7 days before appointment (reduces DNA — Did Not Attend — rate by 40% on average).</w:t>
      </w:r>
    </w:p>
    <w:p>
      <w:pPr>
        <w:spacing w:after="160" w:before="100"/>
      </w:pPr>
      <w:r>
        <w:rPr>
          <w:rFonts w:ascii="Arial" w:cs="Arial" w:eastAsia="Arial" w:hAnsi="Arial"/>
          <w:b/>
          <w:bCs/>
          <w:i w:val="false"/>
          <w:iCs w:val="false"/>
          <w:color w:val="E8612A"/>
          <w:sz w:val="22"/>
          <w:szCs w:val="22"/>
        </w:rPr>
        <w:t xml:space="preserve">Waiting List Validation and Active Monitoring: </w:t>
      </w:r>
      <w:r>
        <w:rPr>
          <w:rFonts w:ascii="Arial" w:cs="Arial" w:eastAsia="Arial" w:hAnsi="Arial"/>
          <w:b w:val="false"/>
          <w:bCs w:val="false"/>
          <w:i w:val="false"/>
          <w:iCs w:val="false"/>
          <w:color w:val="1A2332"/>
          <w:sz w:val="22"/>
          <w:szCs w:val="22"/>
        </w:rPr>
        <w:t xml:space="preserve">NHS England waiting list validation (monthly): all patients on waiting list validated as still requiring treatment and still waiting. Validation workflow: automated patient letter (GOV.UK Notify) → patient confirms still waiting (patient portal response) → records updated. Patients who do not respond within 14 days → GP notification → removal from waiting list if no response. Clock review: RTT clock accuracy validated against PAS ADT events monthly.</w:t>
      </w:r>
    </w:p>
    <w:p>
      <w:pPr>
        <w:spacing w:after="160" w:before="100"/>
      </w:pPr>
      <w:r>
        <w:rPr>
          <w:rFonts w:ascii="Arial" w:cs="Arial" w:eastAsia="Arial" w:hAnsi="Arial"/>
          <w:b/>
          <w:bCs/>
          <w:i w:val="false"/>
          <w:iCs w:val="false"/>
          <w:color w:val="E8612A"/>
          <w:sz w:val="22"/>
          <w:szCs w:val="22"/>
        </w:rPr>
        <w:t xml:space="preserve">DCB0129 Waiting List Clinical Safety: </w:t>
      </w:r>
      <w:r>
        <w:rPr>
          <w:rFonts w:ascii="Arial" w:cs="Arial" w:eastAsia="Arial" w:hAnsi="Arial"/>
          <w:b w:val="false"/>
          <w:bCs w:val="false"/>
          <w:i w:val="false"/>
          <w:iCs w:val="false"/>
          <w:color w:val="1A2332"/>
          <w:sz w:val="22"/>
          <w:szCs w:val="22"/>
        </w:rPr>
        <w:t xml:space="preserve">Clinical safety hazard: patient removed from waiting list incorrectly (breach of duty of care). Mitigation: removals require dual authorisation (clinical and administrative sign-off), removal reason code mandatory, audit trail immutable (every removal logged with user, reason, date, authorisation). Second hazard: RTT breach not detected → patient waits beyond 18 weeks. Mitigation: automated daily breach risk calculation, email alert to named waiting list manager for all patients within 3 weeks of potential breach.</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The Result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DTAC approved all 5 domains. Platform live at 14 weeks, £74,000 — under budget. RTT 18-week compliance: 61% → 84% in 6 months (23 percentage points improvement — target: 80%). Waiting list validation completion: 94% (target: 90%). DNA rate (Did Not Attend): 18.4% → 11.2% (SMS reminder automation). Incorrect waiting list removal rate: 0.2% (dual authorisation enforcement). Clinical governance: zero RTT breaches missed by platform in first 6 months.</w:t>
      </w: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D4EDDA" w:sz="1"/>
              <w:left w:val="single" w:color="D4EDDA" w:sz="1"/>
              <w:bottom w:val="single" w:color="D4EDDA" w:sz="1"/>
              <w:right w:val="single" w:color="D4EDDA" w:sz="1"/>
            </w:tcBorders>
            <w:shd w:fill="D4EDDA" w:val="clear"/>
            <w:tcMar>
              <w:top w:type="dxa" w:w="160"/>
              <w:left w:type="dxa" w:w="200"/>
              <w:bottom w:type="dxa" w:w="160"/>
              <w:right w:type="dxa" w:w="200"/>
            </w:tcMar>
          </w:tcPr>
          <w:p>
            <w:pPr>
              <w:spacing w:after="0" w:before="0"/>
            </w:pPr>
            <w:r>
              <w:rPr>
                <w:rFonts w:ascii="Arial" w:cs="Arial" w:eastAsia="Arial" w:hAnsi="Arial"/>
                <w:b w:val="false"/>
                <w:bCs w:val="false"/>
                <w:i/>
                <w:iCs/>
                <w:color w:val="0B1F3A"/>
                <w:sz w:val="22"/>
                <w:szCs w:val="22"/>
              </w:rPr>
              <w:t xml:space="preserve">"RTT compliance from 61% to 84% in 6 months — 23 percentage points. Every point represents real patients receiving treatment on time. DNA rate from 18.4% to 11.2% — SMS reminders work. Zero RTT breaches missed by the platform in 6 months. DTAC first submission. The clinical governance team described it as the most significant improvement in waiting list management in a decade." — Chief Operating Officer, NHS Foundation Trust (name withheld)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800"/>
        <w:gridCol w:w="6226"/>
      </w:tblGrid>
      <w:tr>
        <w:trPr>
          <w:tblHeader/>
        </w:trPr>
        <w:tc>
          <w:tcPr>
            <w:tcW w:type="dxa" w:w="2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Category</w:t>
            </w:r>
          </w:p>
        </w:tc>
        <w:tc>
          <w:tcPr>
            <w:tcW w:type="dxa" w:w="6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Details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Technologies</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React, Node.js/Fastify, PostgreSQL, NHS eRS FHIR R4, NHS PAS FHIR R4, GOV.UK Notify, AWS eu-west-2</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Compliance</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DTAC all 5 domains, DCB0129, NHS RTT rules, NHS eRS integration policy, UK GDPR Article 9, NHS DSP Toolkit, WCAG 2.1 AA, Cyber Essentials Plus</w:t>
            </w:r>
          </w:p>
        </w:tc>
      </w:tr>
      <w:tr>
        <w:tc>
          <w:tcPr>
            <w:tcW w:type="dxa" w:w="2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Contract</w:t>
            </w:r>
          </w:p>
        </w:tc>
        <w:tc>
          <w:tcPr>
            <w:tcW w:type="dxa" w:w="6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Fixed-price Agile</w:t>
            </w:r>
          </w:p>
        </w:tc>
      </w:tr>
      <w:tr>
        <w:tc>
          <w:tcPr>
            <w:tcW w:type="dxa" w:w="2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IP</w:t>
            </w:r>
          </w:p>
        </w:tc>
        <w:tc>
          <w:tcPr>
            <w:tcW w:type="dxa" w:w="6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100% transferred</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2"/>
        </w:numPr>
        <w:spacing w:after="60" w:before="60"/>
      </w:pPr>
      <w:r>
        <w:rPr>
          <w:rFonts w:ascii="Arial" w:cs="Arial" w:eastAsia="Arial" w:hAnsi="Arial"/>
          <w:color w:val="1A4A8A"/>
          <w:sz w:val="22"/>
          <w:szCs w:val="22"/>
        </w:rPr>
        <w:t xml:space="preserve">Custom Software Development UK: /custom-software-development/</w:t>
      </w:r>
    </w:p>
    <w:p>
      <w:pPr>
        <w:pStyle w:val="ListParagraph"/>
        <w:numPr>
          <w:ilvl w:val="0"/>
          <w:numId w:val="2"/>
        </w:numPr>
        <w:spacing w:after="60" w:before="60"/>
      </w:pPr>
      <w:r>
        <w:rPr>
          <w:rFonts w:ascii="Arial" w:cs="Arial" w:eastAsia="Arial" w:hAnsi="Arial"/>
          <w:color w:val="1A4A8A"/>
          <w:sz w:val="22"/>
          <w:szCs w:val="22"/>
        </w:rPr>
        <w:t xml:space="preserve">Case Studies: /case-studies/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Build Something Similar</w:t>
            </w:r>
          </w:p>
          <w:p>
            <w:pPr>
              <w:spacing w:after="160" w:before="0"/>
            </w:pPr>
            <w:r>
              <w:rPr>
                <w:rFonts w:ascii="Arial" w:cs="Arial" w:eastAsia="Arial" w:hAnsi="Arial"/>
                <w:color w:val="BDD0E8"/>
                <w:sz w:val="22"/>
                <w:szCs w:val="22"/>
              </w:rPr>
              <w:t xml:space="preserve">Book a free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Article | nhs waiting list management software uk, nhs rtt platform uk, healthtech outpatient software uk</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2026-06-01T08:21:57.165Z</dcterms:created>
  <dcterms:modified xsi:type="dcterms:W3CDTF">2026-06-01T08:21:57.165Z</dcterms:modified>
</cp:coreProperties>
</file>

<file path=docProps/custom.xml><?xml version="1.0" encoding="utf-8"?>
<Properties xmlns="http://schemas.openxmlformats.org/officeDocument/2006/custom-properties" xmlns:vt="http://schemas.openxmlformats.org/officeDocument/2006/docPropsVTypes"/>
</file>