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MedTech UK | ClickMasters
META DESC: Legacy Modernisation for UK MedTech. MHRA. £35,000–£200,000.
SLUG: /medtech-legacy-modernisation/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9 min  |  Written by: ClickMasters MedTech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MedTech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MedTech — MHRA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MHRA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MedTech businesses with MHRA,  IEC 62304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MedTech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MedTech Legacy Platform Landscape: </w:t>
      </w:r>
      <w:r>
        <w:rPr>
          <w:rFonts w:ascii="Arial" w:cs="Arial" w:eastAsia="Arial" w:hAnsi="Arial"/>
          <w:b w:val="false"/>
          <w:bCs w:val="false"/>
          <w:i w:val="false"/>
          <w:iCs w:val="false"/>
          <w:color w:val="1A2332"/>
          <w:sz w:val="22"/>
          <w:szCs w:val="22"/>
        </w:rPr>
        <w:t xml:space="preserve">Common UK MedTech legacy platforms: BadgerNet (legacy maternity — widely used but aging), Lorenzo (NHS Patient Administration System — TPP SystmOne successor), RiO (mental health and community health records), EMIS Web (GP clinical system — large installed base), and in-house built clinical systems from 2000–2015 (often Java 6/7, Oracle DB, proprietary HL7 v2 integration). Key modernisation driver: NHS mandate for FHIR R4 interoperability — legacy systems cannot participate in NHS Long Term Plan digital transformation without FHIR APIs.</w:t>
      </w:r>
    </w:p>
    <w:p>
      <w:pPr>
        <w:spacing w:after="60" w:before="60"/>
      </w:pPr>
    </w:p>
    <w:p>
      <w:pPr>
        <w:spacing w:after="160" w:before="100"/>
      </w:pPr>
      <w:r>
        <w:rPr>
          <w:rFonts w:ascii="Arial" w:cs="Arial" w:eastAsia="Arial" w:hAnsi="Arial"/>
          <w:b/>
          <w:bCs/>
          <w:i w:val="false"/>
          <w:iCs w:val="false"/>
          <w:color w:val="E8612A"/>
          <w:sz w:val="22"/>
          <w:szCs w:val="22"/>
        </w:rPr>
        <w:t xml:space="preserve">IEC 62304 Software Modification for Legacy MedTech: </w:t>
      </w:r>
      <w:r>
        <w:rPr>
          <w:rFonts w:ascii="Arial" w:cs="Arial" w:eastAsia="Arial" w:hAnsi="Arial"/>
          <w:b w:val="false"/>
          <w:bCs w:val="false"/>
          <w:i w:val="false"/>
          <w:iCs w:val="false"/>
          <w:color w:val="1A2332"/>
          <w:sz w:val="22"/>
          <w:szCs w:val="22"/>
        </w:rPr>
        <w:t xml:space="preserve">IEC 62304 software modifications: every change to a medical device software system must be assessed for clinical safety impact and managed through the software change control process. Legacy modernisation challenge: legacy code often lacks IEC 62304 artefacts (no hazard log, no design specification, no test coverage). Modernisation approach: (1) retrospective IEC 62304 documentation (create hazard log from clinical risk review of legacy system), (2) test coverage establishment (write unit and integration tests for existing functionality before any modification), (3) software item identification (decompose legacy system into software items per IEC 62304 hierarchy). ClickMasters produces a Legacy Software Safety Assessment as part of all MedTech legacy modernisation Technical Discovery.</w:t>
      </w:r>
    </w:p>
    <w:p>
      <w:pPr>
        <w:spacing w:after="60" w:before="60"/>
      </w:pPr>
    </w:p>
    <w:p>
      <w:pPr>
        <w:spacing w:after="160" w:before="100"/>
      </w:pPr>
      <w:r>
        <w:rPr>
          <w:rFonts w:ascii="Arial" w:cs="Arial" w:eastAsia="Arial" w:hAnsi="Arial"/>
          <w:b/>
          <w:bCs/>
          <w:i w:val="false"/>
          <w:iCs w:val="false"/>
          <w:color w:val="E8612A"/>
          <w:sz w:val="22"/>
          <w:szCs w:val="22"/>
        </w:rPr>
        <w:t xml:space="preserve">FHIR R4 Migration from HL7 v2 Legacy: </w:t>
      </w:r>
      <w:r>
        <w:rPr>
          <w:rFonts w:ascii="Arial" w:cs="Arial" w:eastAsia="Arial" w:hAnsi="Arial"/>
          <w:b w:val="false"/>
          <w:bCs w:val="false"/>
          <w:i w:val="false"/>
          <w:iCs w:val="false"/>
          <w:color w:val="1A2332"/>
          <w:sz w:val="22"/>
          <w:szCs w:val="22"/>
        </w:rPr>
        <w:t xml:space="preserve">NHS legacy systems communicate via HL7 v2 (ADT, ORU, ORM messages — 1990s standard). NHS mandate: all new NHS digital services must use FHIR R4. Migration approach: Facade Pattern — FHIR R4 API wraps legacy HL7 v2 system. Implementation: FHIR R4 server (HAPI FHIR) receives FHIR R4 requests → translates to HL7 v2 messages → sends to legacy system → receives HL7 v2 response → translates to FHIR R4 response. This allows legacy systems to participate in NHS FHIR ecosystem without full replacement. Migration timeline: 12–20 weeks for FHIR Facade, 36–60 weeks for full replacement.</w:t>
      </w:r>
    </w:p>
    <w:p>
      <w:pPr>
        <w:spacing w:after="60" w:before="60"/>
      </w:pPr>
    </w:p>
    <w:p>
      <w:pPr>
        <w:spacing w:after="160" w:before="100"/>
      </w:pPr>
      <w:r>
        <w:rPr>
          <w:rFonts w:ascii="Arial" w:cs="Arial" w:eastAsia="Arial" w:hAnsi="Arial"/>
          <w:b/>
          <w:bCs/>
          <w:i w:val="false"/>
          <w:iCs w:val="false"/>
          <w:color w:val="E8612A"/>
          <w:sz w:val="22"/>
          <w:szCs w:val="22"/>
        </w:rPr>
        <w:t xml:space="preserve">Clinical Data Migration Validation: </w:t>
      </w:r>
      <w:r>
        <w:rPr>
          <w:rFonts w:ascii="Arial" w:cs="Arial" w:eastAsia="Arial" w:hAnsi="Arial"/>
          <w:b w:val="false"/>
          <w:bCs w:val="false"/>
          <w:i w:val="false"/>
          <w:iCs w:val="false"/>
          <w:color w:val="1A2332"/>
          <w:sz w:val="22"/>
          <w:szCs w:val="22"/>
        </w:rPr>
        <w:t xml:space="preserve">Medical device clinical data migration: patient records migrated from legacy to new system must be validated for clinical accuracy. Migration validation approach: (1) clinical record sample audit (random 5% of migrated records reviewed by clinician — confirmed accurate against source system), (2) aggregate validation (total counts match — number of patients, episodes, diagnoses, medications), (3) referential integrity check (every episode linked to a valid patient, every diagnosis linked to a valid episode), (4) clinical code migration (legacy proprietary codes mapped to SNOMED CT — mapping table reviewed by clinical informatics team). DCB0129: clinical data migration is a high-risk activity — full hazard assessment required before migration cutover.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MHRA, IEC 62304, DCB0129, DTAC, NHS DSP Toolkit, UK GDPR Article 9,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MedTech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NHS legacy system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legacy modernisation timeline: Technical Discovery and IEC 62304 retrospective documentation (6–8 weeks), FHIR R4 Facade implementation (12–18 weeks), DTAC assessment preparation and submission (4–8 weeks), clinical data migration and validation (8–12 weeks), parallel running and cutover (4–8 weeks). Total: 36–56 weeks for a full NHS clinical system modernisation. ClickMasters always conducts Technical Discovery (£3,500–£8,000) before any commitment to legacy modernisation timeline — legacy systems always contain surprises. Discovery uncovers surprises before budget is committed.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cheapest approach to NHS legacy system FHIR R4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cheapest path to NHS FHIR R4 compliance for a legacy system: FHIR R4 Facade (not full replacement). Cost: £18,000–£40,000 for a FHIR R4 Facade over an existing legacy system. This allows the legacy system to receive and respond to FHIR R4 requests without replacing the underlying system. Full legacy replacement: £80,000–£200,000. ClickMasters recommendation: start with FHIR Facade (achieves NHS interoperability mandate compliance), plan full replacement as a separate project when budget allows. The Facade buys time without the operational risk of immediate full replacement.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MedTech Software Development UK: /medtech-software-development/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NHS FHIR R4 Integration UK: /nhs-fhir-r4-integration-uk/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MedTech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MedTech Team</w:t>
            </w:r>
          </w:p>
          <w:p>
            <w:pPr>
              <w:spacing w:after="80" w:before="0"/>
            </w:pPr>
            <w:r>
              <w:rPr>
                <w:rFonts w:ascii="Arial" w:cs="Arial" w:eastAsia="Arial" w:hAnsi="Arial"/>
                <w:b/>
                <w:bCs/>
                <w:color w:val="E8612A"/>
                <w:sz w:val="20"/>
                <w:szCs w:val="20"/>
              </w:rPr>
              <w:t xml:space="preserve">MedTech specialists</w:t>
            </w:r>
          </w:p>
          <w:p>
            <w:pPr>
              <w:spacing w:after="0" w:before="0"/>
            </w:pPr>
            <w:r>
              <w:rPr>
                <w:rFonts w:ascii="Arial" w:cs="Arial" w:eastAsia="Arial" w:hAnsi="Arial"/>
                <w:color w:val="1A2332"/>
                <w:sz w:val="20"/>
                <w:szCs w:val="20"/>
              </w:rPr>
              <w:t xml:space="preserve">Delivering Legacy Modernisation for UK MedTech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"medtech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2026-06-02T07:25:02.224Z</dcterms:created>
  <dcterms:modified xsi:type="dcterms:W3CDTF">2026-06-02T07:25:02.224Z</dcterms:modified>
</cp:coreProperties>
</file>

<file path=docProps/custom.xml><?xml version="1.0" encoding="utf-8"?>
<Properties xmlns="http://schemas.openxmlformats.org/officeDocument/2006/custom-properties" xmlns:vt="http://schemas.openxmlformats.org/officeDocument/2006/docPropsVTypes"/>
</file>