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Open Banking Mortgage Broker Platform — UK FCA Authorised — ClickMasters Case Study
META DESC: A UK FCA-authorised mortgage broker with 340 advisers and £2.8B annual mortgage completions needed a digital p...
SLUG: /case-studies/fintech-open-banking-mortgage-broker/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Open Banking Mortgage Broker Platform — UK FCA Authorised</w:t>
      </w:r>
    </w:p>
    <w:p>
      <w:pPr>
        <w:spacing w:after="60" w:before="60"/>
      </w:pPr>
    </w:p>
    <w:p>
      <w:pPr>
        <w:pStyle w:val="Heading1"/>
        <w:spacing w:after="160" w:before="360"/>
      </w:pPr>
      <w:r>
        <w:rPr>
          <w:rFonts w:ascii="Arial" w:cs="Arial" w:eastAsia="Arial" w:hAnsi="Arial"/>
          <w:b/>
          <w:bCs/>
          <w:color w:val="0B1F3A"/>
          <w:sz w:val="40"/>
          <w:szCs w:val="40"/>
        </w:rPr>
        <w:t xml:space="preserve">FinTech Open Banking Mortgage Broker Platform — UK FCA Authorised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Mortgage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Mortgage | Tech: React, Node.js/Fastify, PostgreSQL, TrueLayer AISP, Onfido eKYC, Twenty7Tec API, Trigold, Equifax API, Experian API, GOV.UK Notify, AWS eu-west-2 | Compliance: FCA MCOB, FCA Consumer Duty (PS22/9), FCA CONC 11, Open Banking AISPs (PSD2/PSRs), UK GDPR, AML MLRs 2017,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mortgage broker with 340 advisers and £2.8B annual mortgage completions needed a digital platform — replacing phone-based fact-finding, paper-based Decision in Principle (DIP) applications, and manual lender sourcing. FCA MCOB (Mortgage Conduct of Business), FCA Consumer Duty (mortgage suitability), FCA CONC 11 (creditworthiness assessment), Open Banking AISPs for affordability, Equifax/Experian credit reference integration, and UK GDPR for financial data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Open Banking Affordability Assessment: </w:t>
      </w:r>
      <w:r>
        <w:rPr>
          <w:rFonts w:ascii="Arial" w:cs="Arial" w:eastAsia="Arial" w:hAnsi="Arial"/>
          <w:b w:val="false"/>
          <w:bCs w:val="false"/>
          <w:i w:val="false"/>
          <w:iCs w:val="false"/>
          <w:color w:val="1A2332"/>
          <w:sz w:val="22"/>
          <w:szCs w:val="22"/>
        </w:rPr>
        <w:t xml:space="preserve">TrueLayer AISP integration: customer shares bank account data (3–6 months transaction history) → income categorisation (salary, freelance income, benefits, rental income), committed expenditure (rent/mortgage, loan repayments, subscriptions), and discretionary spending. Affordability calculation: Net income − committed expenditure − stress-tested new mortgage payment (Mortgage Market Review — MMR stress test at +3% above initial rate) = affordability surplus. CONC 11 creditworthiness: open banking data supplements credit bureau data — provides a more complete picture of financial commitments than credit file alone.</w:t>
      </w:r>
    </w:p>
    <w:p>
      <w:pPr>
        <w:spacing w:after="160" w:before="100"/>
      </w:pPr>
      <w:r>
        <w:rPr>
          <w:rFonts w:ascii="Arial" w:cs="Arial" w:eastAsia="Arial" w:hAnsi="Arial"/>
          <w:b/>
          <w:bCs/>
          <w:i w:val="false"/>
          <w:iCs w:val="false"/>
          <w:color w:val="E8612A"/>
          <w:sz w:val="22"/>
          <w:szCs w:val="22"/>
        </w:rPr>
        <w:t xml:space="preserve">Lender Sourcing and DIP Automation: </w:t>
      </w:r>
      <w:r>
        <w:rPr>
          <w:rFonts w:ascii="Arial" w:cs="Arial" w:eastAsia="Arial" w:hAnsi="Arial"/>
          <w:b w:val="false"/>
          <w:bCs w:val="false"/>
          <w:i w:val="false"/>
          <w:iCs w:val="false"/>
          <w:color w:val="1A2332"/>
          <w:sz w:val="22"/>
          <w:szCs w:val="22"/>
        </w:rPr>
        <w:t xml:space="preserve">UK mortgage market: 84 active lenders with different criteria (income multiples, LTV limits, credit score thresholds, property type restrictions). Sourcing engine: customer profile (income, deposit, property type, credit history) → match against lender criteria matrix → ranked results (interest rate, APRC, monthly payment, lender reliability score). DIP submission: automated DIP API submission to Trigold/Twenty7Tec (mortgage sourcing APIs) → credit search (soft search for affordability DIP, hard search for full application) → DIP decision from lender. Lender panel management: criteria matrix updated weekly (lenders change criteria frequently — automated update via Twenty7Tec product data feed).</w:t>
      </w:r>
    </w:p>
    <w:p>
      <w:pPr>
        <w:spacing w:after="160" w:before="100"/>
      </w:pPr>
      <w:r>
        <w:rPr>
          <w:rFonts w:ascii="Arial" w:cs="Arial" w:eastAsia="Arial" w:hAnsi="Arial"/>
          <w:b/>
          <w:bCs/>
          <w:i w:val="false"/>
          <w:iCs w:val="false"/>
          <w:color w:val="E8612A"/>
          <w:sz w:val="22"/>
          <w:szCs w:val="22"/>
        </w:rPr>
        <w:t xml:space="preserve">FCA MCOB Suitability Documentation: </w:t>
      </w:r>
      <w:r>
        <w:rPr>
          <w:rFonts w:ascii="Arial" w:cs="Arial" w:eastAsia="Arial" w:hAnsi="Arial"/>
          <w:b w:val="false"/>
          <w:bCs w:val="false"/>
          <w:i w:val="false"/>
          <w:iCs w:val="false"/>
          <w:color w:val="1A2332"/>
          <w:sz w:val="22"/>
          <w:szCs w:val="22"/>
        </w:rPr>
        <w:t xml:space="preserve">MCOB 4: mortgage recommendation must be suitable for the customer. Digital MCOB suitability report: customer needs and circumstances (structured fact-find), recommended mortgage (lender, product, rate, term), reasons for recommendation (meeting customer needs — rate, term, portability), and risks disclosed (variable rate risk, early repayment charges, future rate increases). Suitability report auto-generated from structured data — adviser reviews and approves before sending to customer. FCA Consumer Duty: mortgage value assessment (is the recommended product fair value vs alternatives?).</w:t>
      </w:r>
    </w:p>
    <w:p>
      <w:pPr>
        <w:spacing w:after="160" w:before="100"/>
      </w:pPr>
      <w:r>
        <w:rPr>
          <w:rFonts w:ascii="Arial" w:cs="Arial" w:eastAsia="Arial" w:hAnsi="Arial"/>
          <w:b/>
          <w:bCs/>
          <w:i w:val="false"/>
          <w:iCs w:val="false"/>
          <w:color w:val="E8612A"/>
          <w:sz w:val="22"/>
          <w:szCs w:val="22"/>
        </w:rPr>
        <w:t xml:space="preserve">Digital Document Collection and Verification: </w:t>
      </w:r>
      <w:r>
        <w:rPr>
          <w:rFonts w:ascii="Arial" w:cs="Arial" w:eastAsia="Arial" w:hAnsi="Arial"/>
          <w:b w:val="false"/>
          <w:bCs w:val="false"/>
          <w:i w:val="false"/>
          <w:iCs w:val="false"/>
          <w:color w:val="1A2332"/>
          <w:sz w:val="22"/>
          <w:szCs w:val="22"/>
        </w:rPr>
        <w:t xml:space="preserve">Mortgage application documents: proof of income (payslips — 3 months, SA302 for self-employed), proof of identity (passport, driving licence — digital ID verification via Onfido), proof of address (utility bill or bank statement), bank statements (3 months — or open banking as alternative). Document AI: automated payslip data extraction (income figure, employer name, pay frequency — Mindee or AWS Textract). Bank statement analysis: open banking replaces manual bank statement upload for most customers. ID verification: Onfido eKYC — identity document + selfie liveness check, AML screening, PEP/sanctions check.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MCOB compliance confirmed. Platform live at 22 weeks, £128,000 — under budget. Digital fact-find completion: 89% of customers complete digital fact-find (previously 100% phone-based). DIP processing time: 3.2 days → 4.2 hours. Mortgage completion rate: 68% → 74% (better lender matching and faster DIP). Open banking affordability adoption: 72% of customers share bank data (vs 0% previously — traditional application only). FCA Consumer Duty review: confirmed compliant. Adviser NPS: 84.</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"DIP from 3.2 days to 4.2 hours. Mortgage completion from 68% to 74%. 72% of customers sharing open banking data — affordability assessment is materially better. Adviser NPS 84. FCA Consumer Duty confirmed compliant. The open banking affordability engine is our competitive advantage — lenders tell us our DIP applications have the lowest incomplete data rate they see because the income and expenditure data is bank-verified, not customer-declared." — CEO, UK Mortgage Broker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TrueLayer AISP, Onfido eKYC, Twenty7Tec API, Trigold, Equifax API, Experian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MCOB, FCA Consumer Duty (PS22/9), FCA CONC 11, Open Banking AISPs (PSD2/PSRs), UK GDPR, AML MLRs 2017,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mortgage broker platform uk, open banking mortgage affordability uk, fintech mortgage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2026-06-02T07:25:02.249Z</dcterms:created>
  <dcterms:modified xsi:type="dcterms:W3CDTF">2026-06-02T07:25:02.249Z</dcterms:modified>
</cp:coreProperties>
</file>

<file path=docProps/custom.xml><?xml version="1.0" encoding="utf-8"?>
<Properties xmlns="http://schemas.openxmlformats.org/officeDocument/2006/custom-properties" xmlns:vt="http://schemas.openxmlformats.org/officeDocument/2006/docPropsVTypes"/>
</file>