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for FinTech Companies UK | ClickMasters
META DESC: Custom Software Development specialists for UK FinTech businesses. FCA. £35,000–£250,000+. Free consultation.
SLUG: /fintech-custom-software-development/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FinTech &amp; Custom Software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for FinTech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for UK FinTech Companies — FCA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specifically for UK FinTech businesses — with FCA,  PSD2 compliance built into every project from the architecture phase. Unlike generic software agencies, our FinTech specialist team understands the regulatory requirements, the data architecture constraints, and the specific integration needs of UK FinTech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Custom Software Development for FinTech Means in the UK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FinTech Custom Software Development in the UK has specific requirements beyond standard Custom Software Development. Here is what ClickMasters builds into every FinTech Custom Software Development engagement:</w:t>
      </w:r>
    </w:p>
    <w:p>
      <w:pPr>
        <w:spacing w:after="60" w:before="60"/>
      </w:pPr>
    </w:p>
    <w:p>
      <w:pPr>
        <w:spacing w:after="160" w:before="100"/>
      </w:pPr>
      <w:r>
        <w:rPr>
          <w:rFonts w:ascii="Arial" w:cs="Arial" w:eastAsia="Arial" w:hAnsi="Arial"/>
          <w:b/>
          <w:bCs/>
          <w:i w:val="false"/>
          <w:iCs w:val="false"/>
          <w:color w:val="E8612A"/>
          <w:sz w:val="22"/>
          <w:szCs w:val="22"/>
        </w:rPr>
        <w:t xml:space="preserve">FCA-Aware Architecture: </w:t>
      </w:r>
      <w:r>
        <w:rPr>
          <w:rFonts w:ascii="Arial" w:cs="Arial" w:eastAsia="Arial" w:hAnsi="Arial"/>
          <w:b w:val="false"/>
          <w:bCs w:val="false"/>
          <w:i w:val="false"/>
          <w:iCs w:val="false"/>
          <w:color w:val="1A2332"/>
          <w:sz w:val="22"/>
          <w:szCs w:val="22"/>
        </w:rPr>
        <w:t xml:space="preserve">Built around your FCA authorisation model. Audit trails for FCA reporting. Consumer Duty UX compliance. Operational resilience mapping (PS21/3).</w:t>
      </w:r>
    </w:p>
    <w:p>
      <w:pPr>
        <w:spacing w:after="60" w:before="60"/>
      </w:pPr>
    </w:p>
    <w:p>
      <w:pPr>
        <w:spacing w:after="160" w:before="100"/>
      </w:pPr>
      <w:r>
        <w:rPr>
          <w:rFonts w:ascii="Arial" w:cs="Arial" w:eastAsia="Arial" w:hAnsi="Arial"/>
          <w:b/>
          <w:bCs/>
          <w:i w:val="false"/>
          <w:iCs w:val="false"/>
          <w:color w:val="E8612A"/>
          <w:sz w:val="22"/>
          <w:szCs w:val="22"/>
        </w:rPr>
        <w:t xml:space="preserve">AML/KYC from Day One: </w:t>
      </w:r>
      <w:r>
        <w:rPr>
          <w:rFonts w:ascii="Arial" w:cs="Arial" w:eastAsia="Arial" w:hAnsi="Arial"/>
          <w:b w:val="false"/>
          <w:bCs w:val="false"/>
          <w:i w:val="false"/>
          <w:iCs w:val="false"/>
          <w:color w:val="1A2332"/>
          <w:sz w:val="22"/>
          <w:szCs w:val="22"/>
        </w:rPr>
        <w:t xml:space="preserve">Customer Due Diligence workflow. MLRO escalation. Transaction monitoring. Sanctions screening. POCA 2002 tipping-off awareness in system design.</w:t>
      </w:r>
    </w:p>
    <w:p>
      <w:pPr>
        <w:spacing w:after="60" w:before="60"/>
      </w:pPr>
    </w:p>
    <w:p>
      <w:pPr>
        <w:spacing w:after="160" w:before="100"/>
      </w:pPr>
      <w:r>
        <w:rPr>
          <w:rFonts w:ascii="Arial" w:cs="Arial" w:eastAsia="Arial" w:hAnsi="Arial"/>
          <w:b/>
          <w:bCs/>
          <w:i w:val="false"/>
          <w:iCs w:val="false"/>
          <w:color w:val="E8612A"/>
          <w:sz w:val="22"/>
          <w:szCs w:val="22"/>
        </w:rPr>
        <w:t xml:space="preserve">Open Banking Integration: </w:t>
      </w:r>
      <w:r>
        <w:rPr>
          <w:rFonts w:ascii="Arial" w:cs="Arial" w:eastAsia="Arial" w:hAnsi="Arial"/>
          <w:b w:val="false"/>
          <w:bCs w:val="false"/>
          <w:i w:val="false"/>
          <w:iCs w:val="false"/>
          <w:color w:val="1A2332"/>
          <w:sz w:val="22"/>
          <w:szCs w:val="22"/>
        </w:rPr>
        <w:t xml:space="preserve">OBIE API, TrueLayer/Plaid, AISP/PISP flows, consent management, SCA (3DS2) implementation.</w:t>
      </w:r>
    </w:p>
    <w:p>
      <w:pPr>
        <w:spacing w:after="60" w:before="60"/>
      </w:pPr>
    </w:p>
    <w:p>
      <w:pPr>
        <w:spacing w:after="160" w:before="100"/>
      </w:pPr>
      <w:r>
        <w:rPr>
          <w:rFonts w:ascii="Arial" w:cs="Arial" w:eastAsia="Arial" w:hAnsi="Arial"/>
          <w:b/>
          <w:bCs/>
          <w:i w:val="false"/>
          <w:iCs w:val="false"/>
          <w:color w:val="E8612A"/>
          <w:sz w:val="22"/>
          <w:szCs w:val="22"/>
        </w:rPr>
        <w:t xml:space="preserve">UK GDPR + FCA Dual Compliance: </w:t>
      </w:r>
      <w:r>
        <w:rPr>
          <w:rFonts w:ascii="Arial" w:cs="Arial" w:eastAsia="Arial" w:hAnsi="Arial"/>
          <w:b w:val="false"/>
          <w:bCs w:val="false"/>
          <w:i w:val="false"/>
          <w:iCs w:val="false"/>
          <w:color w:val="1A2332"/>
          <w:sz w:val="22"/>
          <w:szCs w:val="22"/>
        </w:rPr>
        <w:t xml:space="preserve">Personal data architecture satisfying both ICO and FCA requirements. Especially important for AML data retention vs GDPR minimisation tension.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FCA, PSD2, Consumer Duty, AML, PCI-DSS,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for FinTech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Custom Software Development Project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Custom Software Development with FCA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FinTech project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Custom Software Development support 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is FinTech custom software different from standard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FinTech software requires regulatory compliance architecture from day one — not as a retrofit. FCA Consumer Duty mandates no dark patterns, transparent pricing, and outcome monitoring. AML/KYC flows must be built to regulatory standards. PCI-DSS scope must be managed. These requirements significantly affect architectural decisions that cannot easily be changed after launch.</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FinTech software development cost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FinTech software costs 15–30% more than equivalent unregulated software due to compliance architecture requirements. A FinTech MVP: £35,000–£80,000. A full FCA-authorised platform: £80,000–£250,000+. See /cost-fintech-development-uk/ for detailed breakdown.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FCA Compliance Guide: /fca-software-compliance-guide/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FinTech Custom Software Development — Free Consultation</w:t>
            </w:r>
          </w:p>
          <w:p>
            <w:pPr>
              <w:spacing w:after="160" w:before="0"/>
            </w:pPr>
            <w:r>
              <w:rPr>
                <w:rFonts w:ascii="Arial" w:cs="Arial" w:eastAsia="Arial" w:hAnsi="Arial"/>
                <w:color w:val="BDD0E8"/>
                <w:sz w:val="22"/>
                <w:szCs w:val="22"/>
              </w:rPr>
              <w:t xml:space="preserve">Free 45-minute consultation with a FinTech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Custom Software Development Team</w:t>
            </w:r>
          </w:p>
          <w:p>
            <w:pPr>
              <w:spacing w:after="80" w:before="0"/>
            </w:pPr>
            <w:r>
              <w:rPr>
                <w:rFonts w:ascii="Arial" w:cs="Arial" w:eastAsia="Arial" w:hAnsi="Arial"/>
                <w:b/>
                <w:bCs/>
                <w:color w:val="E8612A"/>
                <w:sz w:val="20"/>
                <w:szCs w:val="20"/>
              </w:rPr>
              <w:t xml:space="preserve">FinTech software specialists — FCA,  PSD2</w:t>
            </w:r>
          </w:p>
          <w:p>
            <w:pPr>
              <w:spacing w:after="0" w:before="0"/>
            </w:pPr>
            <w:r>
              <w:rPr>
                <w:rFonts w:ascii="Arial" w:cs="Arial" w:eastAsia="Arial" w:hAnsi="Arial"/>
                <w:color w:val="1A2332"/>
                <w:sz w:val="20"/>
                <w:szCs w:val="20"/>
              </w:rPr>
              <w:t xml:space="preserve">ClickMasters has delivered Custom Software Development for UK FinTech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"fintech custom software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2026-05-21T11:47:14.423Z</dcterms:created>
  <dcterms:modified xsi:type="dcterms:W3CDTF">2026-05-21T11:47:14.423Z</dcterms:modified>
</cp:coreProperties>
</file>

<file path=docProps/custom.xml><?xml version="1.0" encoding="utf-8"?>
<Properties xmlns="http://schemas.openxmlformats.org/officeDocument/2006/custom-properties" xmlns:vt="http://schemas.openxmlformats.org/officeDocument/2006/docPropsVTypes"/>
</file>