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Integrated Care Board Clinical Analytics Platform — ClickMasters Case Study
META DESC: An NHS Integrated Care Board (ICB) managing healthcare for 1.4M residents, £2.8B annual health expenditure, an...
SLUG: /case-studies/healthtech-nhs-icb-clinical-analytics/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Integrated Care Board Clinical Analytics Platform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Integrated Care Board Clinical Analytics Platform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Population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Population Health | Tech: React, Node.js/Fastify, Redshift Serverless, dbt, AWS Glue, QuickSight, NHS DTAC, GOV.UK Notify, AWS eu-west-2 | Compliance: NHS DTAC all 5 domains, UK GDPR Article 9, NHS DSP Toolkit, NHS England ICB governance, WCAG 2.1 AA,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Integrated Care Board (ICB) managing healthcare for 1.4M residents, £2.8B annual health expenditure, and 42 GP practices needed a unified clinical analytics platform — replacing fragmented SSRS reports, manual Excel extracts, and SUS (Secondary Uses Service) data reconciliation. NHS DTAC all 5 domains, UK GDPR Article 9 (population health data is special category), NHS DSP Toolkit, ICB governance (NHS England Long Term Plan — population health management mandate), WCAG 2.1 AA, and Cyber Essentials Plus were mandatory. Budget: £95,000.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ICB Data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ICB population health data sources: (1) SUS (Secondary Uses Service — admitted patient care, outpatient, A&amp;E — from NHS Digital), (2) GPES (General Practice Extraction Service — primary care activity data), (3) CSDS (Community Services Data Set), (4) IAPT (Improving Access to Psychological Therapies — mental health), (5) MHSDS (Mental Health Services Data Set). Data architecture: all 5 sources → AWS Glue (ETL — NHS-standard fields mapped to ICB analytics schema) → Redshift Serverless (analytics data warehouse) → QuickSight (dashboards — ICB commissioners). NHS DTAC Domain 4 (Interoperability): data lineage documented via dbt DAG — every metric traceable to NHS source data set and NHS Digital specification.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Population Health Stratification — Risk Scoring: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Population health management: identify high-risk patients before they deteriorate — proactive intervention vs reactive treatment. Risk stratification: (1) King's Fund Combined Predictive Model (CPM) adapted for NHS data, (2) QAdmissions score (likelihood of unplanned hospital admission — NHS-validated), (3) frailty index (electronic Frailty Index — eFI — from primary care data), (4) multimorbidity count (number of long-term conditions per patient). Pseudonymised population: NHS number pseudonymised (HMAC-SHA256 consistent pseudonym) — population-level analytics without direct NHS number exposure. GP practice-level stratification: GP practice sees only their own patients' risk scores (not ICB-wide data) — Row Level Security in QuickSight.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Waiting List Analytics and RTT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RTT (Referral to Treatment): maximum 18 weeks from referral to treatment (NHS Constitution standard). RTT breach prediction: (1) current waiting list by specialty (imported weekly from NHS trusts — NHSE Waiting List tracker API), (2) breach prediction (current wait + expected additional wait by specialty → predicted breach date), (3) capacity modelling (available outpatient slots vs demand — gap analysis). ICB action: commissioner identifies at-risk RTT patients → accelerated pathway. Elective recovery analytics: COVID-19 backlog — ICB tracks progress against NHS England elective recovery plan milestones. NHSE Waiting List Minimum Data Set: automated weekly extract for NHS England reporting.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GP Practice Performance Dashboards: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GP practice dashboards: each of 42 GP practices sees their own practice-level data (comparative against ICB average — anonymised benchmarking). Metrics: (1) QOF (Quality and Outcomes Framework — GP achievement against clinical indicators), (2) appointment utilisation (DNA rate, appointment type mix, clinical staff utilisation), (3) prescribing analytics (high-cost prescribing, antibiotic stewardship, biosimilar switch rate), (4) referral analytics (referral rate by specialty, conversion to first appointment, Did Not Attend rate). GPCOG (General Practice COVID Oversight Group) reporting: automated monthly GPCOG report from analytics platform — reduces GP admin burden.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approved all 5 domains. Platform live at 16 weeks, £88,000 — under budget. 1.4M population analytics live. RTT breach prediction: 94.2% accuracy (4-week lookahead). QAdmissions risk stratification: 28,000 high-risk patients identified — 4,200 proactive interventions initiated. GP dashboard adoption: 38 of 42 GP practices actively using within 30 days. NHSE reporting: 100% automated. UK GDPR Article 9 pseudonymisation: confirmed by ICO DPO review. NHS DSP Toolkit: compliant. Analyst productivity: 8 hours/week saved per commissioner analyst.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"1.4M population. RTT prediction 94.2%. 28,000 high-risk identified, 4,200 proactive interventions. GP adoption 38 of 42 practices. NHSE reporting automated. DTAC confirmed. Analyst productivity 8 hours/week saved each. The population health stratification — QAdmissions risk scores to identify who will be admitted before they are admitted — is the clinical analytics that changes healthcare from reactive to proactive. The platform paid for itself in the first quarter from avoided emergency admissions alone." — Director of Population Health, NHS ICB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Redshift Serverless, dbt, AWS Glue, QuickSight, NHS DTAC,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all 5 domains, UK GDPR Article 9, NHS DSP Toolkit, NHS England ICB governance, WCAG 2.1 AA,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icb clinical analytics platform uk, population health management software uk, healthtech nhs analytics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2026-06-05T11:24:01.467Z</dcterms:created>
  <dcterms:modified xsi:type="dcterms:W3CDTF">2026-06-05T11:24:01.467Z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