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CleanTech EV Fleet Management SaaS — UK Commercial Fleet Operator — ClickMasters Case Study
META DESC: A UK commercial fleet operator with 2,800 vehicles, 18,000 annual routes, and a BEIS (now DESNZ) Net Zero Flee...
SLUG: /case-studies/cleantech-ev-fleet-management-saas/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CleanTech EV Fleet Management SaaS — UK Commercial Fleet Operator</w:t>
      </w:r>
    </w:p>
    <w:p>
      <w:pPr>
        <w:spacing w:after="60" w:before="60"/>
      </w:pPr>
    </w:p>
    <w:p>
      <w:pPr>
        <w:pStyle w:val="Heading1"/>
        <w:spacing w:after="160" w:before="360"/>
      </w:pPr>
      <w:r>
        <w:rPr>
          <w:rFonts w:ascii="Arial" w:cs="Arial" w:eastAsia="Arial" w:hAnsi="Arial"/>
          <w:b/>
          <w:bCs/>
          <w:color w:val="0B1F3A"/>
          <w:sz w:val="40"/>
          <w:szCs w:val="40"/>
        </w:rPr>
        <w:t xml:space="preserve">CleanTech EV Fleet Management SaaS — UK Commercial Fleet Operator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CleanTech / EV Fleet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CleanTech / EV Fleet | Tech: React, Node.js/Fastify, PostgreSQL, OCPP 2.0, Octopus Energy API, DVLA V5C API, HMRC PAYE API, AWS IoT Core, AWS eu-west-2 | Compliance: DESNZ Net Zero Fleet Policy, HMRC BiK (P11D/P11D(b)), SECR, DEFRA Emission Factors, DVSA compliance, DVLA, UK GDPR (driver location data),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commercial fleet operator with 2,800 vehicles, 18,000 annual routes, and a BEIS (now DESNZ) Net Zero Fleet commitment needed a unified EV fleet management SaaS — managing EV transition planning, charging infrastructure, HMRC BiK calculations, and SECR carbon reporting. DESNZ fleet decarbonisation targets, HMRC BiK (Benefit in Kind) for company EVs, SECR (Streamlined Energy and Carbon Reporting), DVSA (Driver and Vehicle Standards Agency), DVLA (vehicle records), UK GDPR (driver location data), and Cyber Essentials were mandatory. Budget: £110,000.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EV Transition Planning Engine: </w:t>
      </w:r>
      <w:r>
        <w:rPr>
          <w:rFonts w:ascii="Arial" w:cs="Arial" w:eastAsia="Arial" w:hAnsi="Arial"/>
          <w:b w:val="false"/>
          <w:bCs w:val="false"/>
          <w:i w:val="false"/>
          <w:iCs w:val="false"/>
          <w:color w:val="1A2332"/>
          <w:sz w:val="22"/>
          <w:szCs w:val="22"/>
        </w:rPr>
        <w:t xml:space="preserve">Fleet transition modelling: not all vehicles transition simultaneously — business case required for each route. Transition analysis: (1) route analysis (daily mileage per route — can it be completed on a single charge? Does it require en-route charging?), (2) vehicle matching (route requirements → suitable EV models — WLTP range vs route requirement, payload, towing capacity), (3) Total Cost of Ownership (TCO) calculation (EV purchase price + charging infrastructure + electricity cost vs ICE fuel + servicing + fuel duty), (4) OLEV grant eligibility (LEVI scheme — charging infrastructure grant for commercial fleets), (5) transition timeline (phased replacement as ICE vehicles reach end-of-life vs accelerated replacement). Net Zero Fleet Plan output: PDF report per fleet — route by route EV transition plan with TCO, OLEV grant application support.</w:t>
      </w:r>
    </w:p>
    <w:p>
      <w:pPr>
        <w:spacing w:after="160" w:before="100"/>
      </w:pPr>
      <w:r>
        <w:rPr>
          <w:rFonts w:ascii="Arial" w:cs="Arial" w:eastAsia="Arial" w:hAnsi="Arial"/>
          <w:b/>
          <w:bCs/>
          <w:i w:val="false"/>
          <w:iCs w:val="false"/>
          <w:color w:val="E8612A"/>
          <w:sz w:val="22"/>
          <w:szCs w:val="22"/>
        </w:rPr>
        <w:t xml:space="preserve">OCPP 2.0 Charging Infrastructure Management: </w:t>
      </w:r>
      <w:r>
        <w:rPr>
          <w:rFonts w:ascii="Arial" w:cs="Arial" w:eastAsia="Arial" w:hAnsi="Arial"/>
          <w:b w:val="false"/>
          <w:bCs w:val="false"/>
          <w:i w:val="false"/>
          <w:iCs w:val="false"/>
          <w:color w:val="1A2332"/>
          <w:sz w:val="22"/>
          <w:szCs w:val="22"/>
        </w:rPr>
        <w:t xml:space="preserve">OCPP 2.0 (Open Charge Point Protocol): international standard for EV charging station communication. ClickMasters integration: (1) charge point registration (OCPP 2.0 BootNotification — charge point registers with central system), (2) charging session management (StartTransaction → MeterValues (energy metered at 1-minute intervals) → StopTransaction), (3) smart charging (Octopus Agile API — real-time electricity price → schedule charging for off-peak periods, reducing cost by 40–60%), (4) charge point health monitoring (StatusNotification — charge point faults alerted to fleet manager within 5 minutes), (5) RFID authentication (driver RFID card → charge point → OCPP Authorize → central system confirms authorisation). Fleet charging cost: metered kWh per vehicle per session → driver cost allocation → HMRC BiK calculation.</w:t>
      </w:r>
    </w:p>
    <w:p>
      <w:pPr>
        <w:spacing w:after="160" w:before="100"/>
      </w:pPr>
      <w:r>
        <w:rPr>
          <w:rFonts w:ascii="Arial" w:cs="Arial" w:eastAsia="Arial" w:hAnsi="Arial"/>
          <w:b/>
          <w:bCs/>
          <w:i w:val="false"/>
          <w:iCs w:val="false"/>
          <w:color w:val="E8612A"/>
          <w:sz w:val="22"/>
          <w:szCs w:val="22"/>
        </w:rPr>
        <w:t xml:space="preserve">HMRC BiK Automation for Company EVs: </w:t>
      </w:r>
      <w:r>
        <w:rPr>
          <w:rFonts w:ascii="Arial" w:cs="Arial" w:eastAsia="Arial" w:hAnsi="Arial"/>
          <w:b w:val="false"/>
          <w:bCs w:val="false"/>
          <w:i w:val="false"/>
          <w:iCs w:val="false"/>
          <w:color w:val="1A2332"/>
          <w:sz w:val="22"/>
          <w:szCs w:val="22"/>
        </w:rPr>
        <w:t xml:space="preserve">HMRC Benefit in Kind (BiK): taxable benefit for employees driving a company car for private use. EV BiK rate: 2% of P11D value (2022–25), rising to 5% by 2027/28. BiK calculation: (1) P11D value (list price + accessories at registration), (2) BiK percentage (EV: 2% for 2024/25), (3) taxable benefit (P11D × BiK %), (4) tax payable (taxable benefit × employee tax rate). Automation: fleet management system → HMRC API (P11D value lookup via DVLA V5C registration API) → BiK calculation (per vehicle per tax year) → P11D export (CSV for payroll system — each employee's company car benefit for PAYE). BiK accuracy: HMRC tax officer reviews — any error triggers PAYE audit. Automated HMRC declaration: P11D(b) (company Class 1A NIC) automated submission via HMRC PAYE API.</w:t>
      </w:r>
    </w:p>
    <w:p>
      <w:pPr>
        <w:spacing w:after="160" w:before="100"/>
      </w:pPr>
      <w:r>
        <w:rPr>
          <w:rFonts w:ascii="Arial" w:cs="Arial" w:eastAsia="Arial" w:hAnsi="Arial"/>
          <w:b/>
          <w:bCs/>
          <w:i w:val="false"/>
          <w:iCs w:val="false"/>
          <w:color w:val="E8612A"/>
          <w:sz w:val="22"/>
          <w:szCs w:val="22"/>
        </w:rPr>
        <w:t xml:space="preserve">SECR Carbon Reporting and DEFRA Emission Factors: </w:t>
      </w:r>
      <w:r>
        <w:rPr>
          <w:rFonts w:ascii="Arial" w:cs="Arial" w:eastAsia="Arial" w:hAnsi="Arial"/>
          <w:b w:val="false"/>
          <w:bCs w:val="false"/>
          <w:i w:val="false"/>
          <w:iCs w:val="false"/>
          <w:color w:val="1A2332"/>
          <w:sz w:val="22"/>
          <w:szCs w:val="22"/>
        </w:rPr>
        <w:t xml:space="preserve">SECR (Streamlined Energy and Carbon Reporting): mandatory for large UK companies — annual carbon report. Fleet Scope 1 emissions: combustion of fuel in owned vehicles (diesel, petrol). Fleet Scope 2 emissions: electricity for EV charging (location-based: DEFRA grid emission factor 0.21233 kgCO2e/kWh for 2024/25). Scope 1 calculation: fuel consumption per vehicle (telematics — litres consumed × DEFRA fuel emission factor = kgCO2e). Scope 2 calculation: EV metered kWh × DEFRA grid factor = kgCO2e. SECR annual report: automated from fleet management data (fuel records + OCPP charging records → SECR report PDF). DEFRA factors update March each year — automated in platform (DEFRA API for latest factors). Net Zero trajectory: actual emissions vs Net Zero Fleet Plan trajectory — progress tracker.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18 weeks, £100,000 — under budget. 2,800 vehicles managed. EV transition plan: 840 vehicles phased for EV by 2028 (full fleet by 2035). Smart charging cost saving: £280,000/year (Octopus Agile off-peak scheduling vs standard tariff). HMRC BiK accuracy: 100% (zero PAYE audit flags). SECR automation: 100% (previously manual Excel — 3-day annual process reduced to 2 hours). Fleet Scope 1+2 emissions: 18.4% reduction year-on-year from EV transition. OLEV LEVI grant: £840,000 secured for charging infrastructure. Cyber Essentials: confirmed.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"840 EVs planned, full fleet by 2035. Smart charging £280,000 annual saving. BiK 100% accuracy. SECR from 3 days to 2 hours. Scope emissions down 18.4%. OLEV grant £840,000. Cyber Essentials confirmed. The smart charging integration — scheduling every vehicle for off-peak Octopus Agile pricing — was the ROI that surprised us. £280,000 annual saving on a £100,000 platform. The platform paid for itself before the first SECR report was submitted." — Head of Fleet, UK Commercial Fleet Operator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OCPP 2.0, Octopus Energy API, DVLA V5C API, HMRC PAYE API, AWS IoT Core,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DESNZ Net Zero Fleet Policy, HMRC BiK (P11D/P11D(b)), SECR, DEFRA Emission Factors, DVSA compliance, DVLA, UK GDPR (driver location data),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ev fleet management saas uk, cleantech electric vehicle fleet uk, ocpp charging management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2026-06-05T11:34:53.411Z</dcterms:created>
  <dcterms:modified xsi:type="dcterms:W3CDTF">2026-06-05T11:34:53.411Z</dcterms:modified>
</cp:coreProperties>
</file>

<file path=docProps/custom.xml><?xml version="1.0" encoding="utf-8"?>
<Properties xmlns="http://schemas.openxmlformats.org/officeDocument/2006/custom-properties" xmlns:vt="http://schemas.openxmlformats.org/officeDocument/2006/docPropsVTypes"/>
</file>