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Crypto Asset Trading Platform — UK FCA Registered — ClickMasters Case Study
META DESC: A UK FCA-registered Cryptoasset Business (UK MLRs 2017 — FCA crypto AML registration) offering crypto exchange...
SLUG: /case-studies/fintech-crypto-asset-trading-platform/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Crypto Asset Trading Platform — UK FCA Registered</w:t>
      </w:r>
    </w:p>
    <w:p>
      <w:pPr>
        <w:spacing w:after="60" w:before="60"/>
      </w:pPr>
    </w:p>
    <w:p>
      <w:pPr>
        <w:pStyle w:val="Heading1"/>
        <w:spacing w:after="160" w:before="360"/>
      </w:pPr>
      <w:r>
        <w:rPr>
          <w:rFonts w:ascii="Arial" w:cs="Arial" w:eastAsia="Arial" w:hAnsi="Arial"/>
          <w:b/>
          <w:bCs/>
          <w:color w:val="0B1F3A"/>
          <w:sz w:val="40"/>
          <w:szCs w:val="40"/>
        </w:rPr>
        <w:t xml:space="preserve">FinTech Crypto Asset Trading Platform — UK FCA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Crypto</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Crypto | Tech: React, React Native (Expo), Node.js/Fastify, PostgreSQL, Onfido, Chainalysis API, TRISA Travel Rule Protocol, OFSI API, NCA goAML, AWS eu-west-2 | Compliance: FCA PS23/6 crypto financial promotions, FCA MLRs 2017 crypto AML, UK Travel Rule (2023), CASS (custody), AML, UK GDPR,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FCA-registered Cryptoasset Business (UK MLRs 2017 — FCA crypto AML registration) offering crypto exchange, custody, and staking services for 84,000 UK retail customers needed to build a compliant trading platform ahead of the UK's new cryptoasset regulation framework (PS23/6 — FCA crypto financial promotions rules from October 2023, and incoming HM Treasury cryptoasset regime). FCA PS23/6 (crypto financial promotions — high-risk investment warnings), FCA MLRs 2017 (crypto AML), UK Travel Rule (crypto travel rule — effective September 2023), CASS (custody rules — cryptoasset client money), UK GDPR, and WCAG 2.1 AA were mandatory.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FCA PS23/6 Crypto Financial Promotions Compliance: </w:t>
      </w:r>
      <w:r>
        <w:rPr>
          <w:rFonts w:ascii="Arial" w:cs="Arial" w:eastAsia="Arial" w:hAnsi="Arial"/>
          <w:b w:val="false"/>
          <w:bCs w:val="false"/>
          <w:i w:val="false"/>
          <w:iCs w:val="false"/>
          <w:color w:val="1A2332"/>
          <w:sz w:val="22"/>
          <w:szCs w:val="22"/>
        </w:rPr>
        <w:t xml:space="preserve">FCA PS23/6 (Crypto Financial Promotions — effective October 2023): crypto financial promotions must be approved by an FCA-authorised person, include risk warnings, and not include incentives that encourage investment. Platform compliance: (1) prominent risk warning (PSA — Personalisaed Risk Warning — "Don't invest unless you're prepared to lose all the money you invest. This is a high-risk investment and you are unlikely to be protected if something goes wrong"), (2) 24-hour cooling off period (new customers must acknowledge risk warning and wait 24 hours before first investment), (3) appropriateness assessment (FCA PS23/6 — test that customer understands crypto risks before allowing investment), (4) no incentives (no sign-up bonuses, referral bonuses, or promotions that encourage investment — FCA ban), (5) client categorisation (retail vs sophisticated — retail clients have additional protections).</w:t>
      </w:r>
    </w:p>
    <w:p>
      <w:pPr>
        <w:spacing w:after="160" w:before="100"/>
      </w:pPr>
      <w:r>
        <w:rPr>
          <w:rFonts w:ascii="Arial" w:cs="Arial" w:eastAsia="Arial" w:hAnsi="Arial"/>
          <w:b/>
          <w:bCs/>
          <w:i w:val="false"/>
          <w:iCs w:val="false"/>
          <w:color w:val="E8612A"/>
          <w:sz w:val="22"/>
          <w:szCs w:val="22"/>
        </w:rPr>
        <w:t xml:space="preserve">UK Travel Rule for Crypto: </w:t>
      </w:r>
      <w:r>
        <w:rPr>
          <w:rFonts w:ascii="Arial" w:cs="Arial" w:eastAsia="Arial" w:hAnsi="Arial"/>
          <w:b w:val="false"/>
          <w:bCs w:val="false"/>
          <w:i w:val="false"/>
          <w:iCs w:val="false"/>
          <w:color w:val="1A2332"/>
          <w:sz w:val="22"/>
          <w:szCs w:val="22"/>
        </w:rPr>
        <w:t xml:space="preserve">UK Travel Rule (effective September 2023): when transferring cryptoassets, the originator and beneficiary information must be included in the transfer (similar to wire transfer regulations). Travel Rule requirements: (1) outgoing transfer (include: originator name, account number/wallet address, originator address, beneficiary name, beneficiary account) → send to receiving VASP (Virtual Asset Service Provider) via Travel Rule protocol (TRISA or OpenVASP), (2) incoming transfer (receive originator and beneficiary information from sending VASP), (3) missing information (if Travel Rule data not received → hold transaction for manual review — do not release to customer), (4) unhosted wallets (customer self-custodying to own wallet — simplified information, no VASP to VASP transfer), (5) VASP due diligence (verify receiving VASP is legitimate — VASP registry lookup).</w:t>
      </w:r>
    </w:p>
    <w:p>
      <w:pPr>
        <w:spacing w:after="160" w:before="100"/>
      </w:pPr>
      <w:r>
        <w:rPr>
          <w:rFonts w:ascii="Arial" w:cs="Arial" w:eastAsia="Arial" w:hAnsi="Arial"/>
          <w:b/>
          <w:bCs/>
          <w:i w:val="false"/>
          <w:iCs w:val="false"/>
          <w:color w:val="E8612A"/>
          <w:sz w:val="22"/>
          <w:szCs w:val="22"/>
        </w:rPr>
        <w:t xml:space="preserve">CASS Crypto Custody Architecture: </w:t>
      </w:r>
      <w:r>
        <w:rPr>
          <w:rFonts w:ascii="Arial" w:cs="Arial" w:eastAsia="Arial" w:hAnsi="Arial"/>
          <w:b w:val="false"/>
          <w:bCs w:val="false"/>
          <w:i w:val="false"/>
          <w:iCs w:val="false"/>
          <w:color w:val="1A2332"/>
          <w:sz w:val="22"/>
          <w:szCs w:val="22"/>
        </w:rPr>
        <w:t xml:space="preserve">CASS (Client Assets Sourcebook) applies to cryptoasset custody — FCA expectation that cryptoassets held for clients are segregated from firm assets. Custody architecture: (1) hot wallet (exchange wallet — small % of AUM for trading liquidity), (2) cold storage (hardware security module or MPC — multi-party computation — majority of AUM), (3) client segregation (each customer's cryptoasset holdings tracked in database — not commingled with firm assets), (4) proof of reserves (monthly cryptographic proof that customer balances match on-chain holdings), (5) insurance (Lloyds of London crypto custody insurance for cold storage). Hot/cold split: typically 5% hot, 95% cold (industry standard). MPC custody: multi-signature — no single person can authorise a withdrawal (quorum required — 3 of 5 key holders).</w:t>
      </w:r>
    </w:p>
    <w:p>
      <w:pPr>
        <w:spacing w:after="160" w:before="100"/>
      </w:pPr>
      <w:r>
        <w:rPr>
          <w:rFonts w:ascii="Arial" w:cs="Arial" w:eastAsia="Arial" w:hAnsi="Arial"/>
          <w:b/>
          <w:bCs/>
          <w:i w:val="false"/>
          <w:iCs w:val="false"/>
          <w:color w:val="E8612A"/>
          <w:sz w:val="22"/>
          <w:szCs w:val="22"/>
        </w:rPr>
        <w:t xml:space="preserve">Crypto AML and KYC — MLRs 2017: </w:t>
      </w:r>
      <w:r>
        <w:rPr>
          <w:rFonts w:ascii="Arial" w:cs="Arial" w:eastAsia="Arial" w:hAnsi="Arial"/>
          <w:b w:val="false"/>
          <w:bCs w:val="false"/>
          <w:i w:val="false"/>
          <w:iCs w:val="false"/>
          <w:color w:val="1A2332"/>
          <w:sz w:val="22"/>
          <w:szCs w:val="22"/>
        </w:rPr>
        <w:t xml:space="preserve">UK MLRs 2017 — FCA Crypto AML Registration: crypto businesses must perform CDD (Customer Due Diligence) equivalent to financial services AML. Crypto-specific AML: (1) KYC at onboarding (Onfido identity verification), (2) source of funds (above £10,000 transaction — bank statement or salary evidence), (3) blockchain analytics (Chainalysis or Elliptic — transaction risk scoring, funds from dark web/mixer flagged), (4) sanctions screening (OFSI + OFAC sanctions lists — cryptoasset transactions have no national borders), (5) SAR reporting (NCA goAML — suspicious activity reports for crypto transactions). Blockchain analytics: incoming transactions screened for high-risk sources (known hacker wallets, darknet markets, sanctions circumvention). Outgoing transactions screened for destination risk.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crypto AML registration maintained. PS23/6 compliance confirmed. Platform live at 22 weeks, £128,000 — under budget. 84,000 customers. UK Travel Rule: 100% compliance (TRISA protocol). PS23/6 risk warning acknowledgement: 100% of new customers. 24-hour cooling off: 100% enforced. Appropriateness assessment: 92.4% pass rate (7.6% restricted to lower risk products). Blockchain analytics screening: 2.4% of transactions flagged (0.8% rejected — high-risk sources). CASS proof of reserves: monthly publication live. FCA MLRs audit: confirmed compliant. NPS: 68.</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"Travel Rule 100%. PS23/6 confirmed. 24-hour cooling off 100%. Blockchain analytics 2.4% flagged. CASS proof of reserves live monthly. FCA MLRs confirmed. NPS 68. The 24-hour cooling off period — FCA mandate — is the single most important consumer protection in crypto. It is not a barrier to conversion. Our conversion rate after cooling off is 92%. Customers who wait 24 hours and still invest are the customers who actually understand what they are investing in." — CEO, UK Crypto Exchange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Onfido, Chainalysis API, TRISA Travel Rule Protocol, OFSI API, NCA goAML,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PS23/6 crypto financial promotions, FCA MLRs 2017 crypto AML, UK Travel Rule (2023), CASS (custody), AML, UK GDPR,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crypto asset trading platform uk fca, uk travel rule crypto compliance, fintech cryptoasset uk regulated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2026-06-05T16:45:19.804Z</dcterms:created>
  <dcterms:modified xsi:type="dcterms:W3CDTF">2026-06-05T16:45:19.805Z</dcterms:modified>
</cp:coreProperties>
</file>

<file path=docProps/custom.xml><?xml version="1.0" encoding="utf-8"?>
<Properties xmlns="http://schemas.openxmlformats.org/officeDocument/2006/custom-properties" xmlns:vt="http://schemas.openxmlformats.org/officeDocument/2006/docPropsVTypes"/>
</file>