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UK Software Testing Guide (2026) | ClickMasters
META DESC: Software testing for UK regulated products. NHS DTAC, FCA PS21/3, GDS, IEC 62304 V&amp;V, Jest, Playwright, axe-core, Cypress.
SLUG: /uk-software-testing-guide/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13 min  |  Written by: James Whitmore, CTO  |  Reviewed by: ClickMasters QA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UK Software Testing Guide</w:t>
      </w:r>
    </w:p>
    <w:p>
      <w:pPr>
        <w:spacing w:after="60" w:before="60"/>
      </w:pPr>
    </w:p>
    <w:p>
      <w:pPr>
        <w:pStyle w:val="Heading1"/>
        <w:spacing w:after="160" w:before="360"/>
      </w:pPr>
      <w:r>
        <w:rPr>
          <w:rFonts w:ascii="Arial" w:cs="Arial" w:eastAsia="Arial" w:hAnsi="Arial"/>
          <w:b/>
          <w:bCs/>
          <w:color w:val="0B1F3A"/>
          <w:sz w:val="40"/>
          <w:szCs w:val="40"/>
        </w:rPr>
        <w:t xml:space="preserve">UK Software Testing Guide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Testing</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IEC 62304 V&amp;V</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NHS DTAC D3</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PS21/3</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GDS Assessment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UK regulated software testing must satisfy three frameworks: IEC 62304 V&amp;V (Verification and Validation for medical device software -- traceability from requirements to tests), NHS DTAC Domain 3 (security testing evidence -- SAST, DAST, penetration testing), and FCA PS21/3 (IBS resilience testing -- chaos engineering, quarterly Impact Tolerance validation). ClickMasters builds test suites that generate evidence for all three automatically.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Regulated Testing Pyramid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200"/>
        <w:gridCol w:w="1826"/>
      </w:tblGrid>
      <w:tr>
        <w:trPr>
          <w:tblHeader/>
        </w:trPr>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Test Type</w:t>
            </w:r>
          </w:p>
        </w:tc>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Tool</w:t>
            </w:r>
          </w:p>
        </w:tc>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Coverage Target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Framework Satisfied</w:t>
            </w:r>
          </w:p>
        </w:tc>
        <w:tc>
          <w:tcPr>
            <w:tcW w:type="dxa" w:w="1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Runs In</w:t>
            </w:r>
          </w:p>
        </w:tc>
      </w:tr>
      <w:tr>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Unit tests</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Jest + TypeScript</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 branch coverage</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IEC 62304 V&amp;V, FCA code quality</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Every PR</w:t>
            </w:r>
          </w:p>
        </w:tc>
      </w:tr>
      <w:tr>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Integration tests</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Jest + Supertest</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API endpoints + DB queries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IEC 62304 integration V&amp;V</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Every PR</w:t>
            </w:r>
          </w:p>
        </w:tc>
      </w:tr>
      <w:tr>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E2E tests</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Playwright (NHS/GDS journeys)</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clinical/regulated user journeys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IEC 62304 system V&amp;V, GDS Pt 16</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Every PR</w:t>
            </w:r>
          </w:p>
        </w:tc>
      </w:tr>
      <w:tr>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Accessibility tests</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axe-playwright</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Zero WCAG 2.1 AA violations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DTAC D5, GDS Pt 5, PSBAR</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Every PR</w:t>
            </w:r>
          </w:p>
        </w:tc>
      </w:tr>
      <w:tr>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SAST</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Semgrep (custom NHS/FCA rules)</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Block on HIGH severity</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DTAC D3, CE Plus A2</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Every PR</w:t>
            </w:r>
          </w:p>
        </w:tc>
      </w:tr>
      <w:tr>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DAST</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OWASP ZAP (staging)</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Zero HIGH OWASP findings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DTAC D3, CE Plus A5</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Weekly</w:t>
            </w:r>
          </w:p>
        </w:tc>
      </w:tr>
      <w:tr>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Penetration test</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CREST-approved tester</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Annual (NHS/FCA)</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DTAC D3, FCA PS21/3 security</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Annual</w:t>
            </w:r>
          </w:p>
        </w:tc>
      </w:tr>
      <w:tr>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Chaos test</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FIS (IBS scenarios)</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IBS recovers within Impact Tolerance</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PS21/3 IBS resilience</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Quarterly</w:t>
            </w:r>
          </w:p>
        </w:tc>
      </w:tr>
      <w:tr>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Performance test</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k6 (load test)</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IBS SLO: P99 &lt; 500ms at 3x normal load</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PS21/3 IBS performance</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Pre-release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IEC 62304 Verification and Validation</w:t>
            </w:r>
          </w:p>
        </w:tc>
      </w:tr>
    </w:tbl>
    <w:p>
      <w:pPr>
        <w:spacing w:after="60" w:before="60"/>
      </w:pPr>
    </w:p>
    <w:p>
      <w:pPr>
        <w:spacing w:after="160" w:before="100"/>
      </w:pPr>
      <w:r>
        <w:rPr>
          <w:rFonts w:ascii="Arial" w:cs="Arial" w:eastAsia="Arial" w:hAnsi="Arial"/>
          <w:b w:val="false"/>
          <w:bCs w:val="false"/>
          <w:color w:val="1A2332"/>
          <w:sz w:val="22"/>
          <w:szCs w:val="22"/>
        </w:rPr>
        <w:t xml:space="preserve">IEC 62304 V&amp;V (Verification and Validation): software verification confirms the software was built correctly (design verified), software validation confirms the correct software was built (meets requirements). UK MedTech and NHS HealthTech must document V&amp;V evidence per IEC 62304 Class.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Class A (non-clinical): unit tests + integration tests + E2E tests -- documented test cases with pass/fail evidence. No clinical safety implications.</w:t>
      </w:r>
    </w:p>
    <w:p>
      <w:pPr>
        <w:pStyle w:val="ListParagraph"/>
        <w:numPr>
          <w:ilvl w:val="0"/>
          <w:numId w:val="2"/>
        </w:numPr>
        <w:spacing w:after="60" w:before="60"/>
      </w:pPr>
      <w:r>
        <w:rPr>
          <w:rFonts w:ascii="Arial" w:cs="Arial" w:eastAsia="Arial" w:hAnsi="Arial"/>
          <w:color w:val="1A2332"/>
          <w:sz w:val="22"/>
          <w:szCs w:val="22"/>
        </w:rPr>
        <w:t xml:space="preserve">Class B (aids clinical decision): all Class A + formal test plan + traceability matrix (requirement to test case to test result) + HAZOP review of test coverage. DCB0129 test cases for clinical safety requirements.</w:t>
      </w:r>
    </w:p>
    <w:p>
      <w:pPr>
        <w:pStyle w:val="ListParagraph"/>
        <w:numPr>
          <w:ilvl w:val="0"/>
          <w:numId w:val="2"/>
        </w:numPr>
        <w:spacing w:after="60" w:before="60"/>
      </w:pPr>
      <w:r>
        <w:rPr>
          <w:rFonts w:ascii="Arial" w:cs="Arial" w:eastAsia="Arial" w:hAnsi="Arial"/>
          <w:color w:val="1A2332"/>
          <w:sz w:val="22"/>
          <w:szCs w:val="22"/>
        </w:rPr>
        <w:t xml:space="preserve">Class C (performs clinical function independently): all Class B + independent verification + formal test report + clinical validation study. MHRA Notified Body reviews test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ClickMasters IEC 62304 traceability: GitHub PR description template includes requirement reference (JIRA ID), hazard log reference (DCB0129 hazard ID if applicable), and test case reference. Pull Request = IEC 62304 unit of traceability. DTAC Domain 3 evidence pack generated automatically per sprint.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test coverage does NHS DTAC require?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NHS DTAC Domain 3 does not specify a numerical test coverage target. But: (1) DTAC assessors expect evidence of systematic testing -- unit tests, integration tests, E2E tests, SAST, DAST, (2) IEC 62304 Class B requires a test plan with traceability -- not just ad hoc testing, (3) DTAC Domain 5 accessibility requires axe-core or equivalent automated scan with zero critical violations. ClickMasters DTAC testing standard: 80% branch coverage (Jest) + Playwright E2E for all clinical user journeys + axe-playwright WCAG 2.1 AA + Semgrep SAST + OWASP ZAP DAST weekly + CREST penetration test annual. All evidence artefacts in GitHub Actions -- downloadable for DTAC evidence pack.</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FCA PS21/3 require chaos testing?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PS21/3 chaos testing: FCA PS21/3 requires firms to test their Important Business Services against plausible failure scenarios to validate they meet their Impact Tolerance. Chaos testing is the practical implementation. ClickMasters FCA PS21/3 chaos testing schedule: quarterly AWS FIS (Fault Injection Simulator) tests -- (1) AZ failure (ECS Fargate tasks in failed AZ -- do remaining AZs handle load?), (2) Aurora database failover (does application reconnect within Impact Tolerance?), (3) GoCardless API dependency failure (does payment processing degrade gracefully or fail completely?), (4) Lambda throttling (event processing queue backup -- does DLQ catch missed events?). Each chaos test produces: FIS experiment ID, CloudWatch metrics during test, IBS availability measured, comparison with Impact Tolerance. Submitted to FCA PS21/3 quarterly board report.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UK DevOps Guide: /uk-devops-guide/</w:t>
      </w:r>
    </w:p>
    <w:p>
      <w:pPr>
        <w:pStyle w:val="ListParagraph"/>
        <w:numPr>
          <w:ilvl w:val="0"/>
          <w:numId w:val="3"/>
        </w:numPr>
        <w:spacing w:after="60" w:before="60"/>
      </w:pPr>
      <w:r>
        <w:rPr>
          <w:rFonts w:ascii="Arial" w:cs="Arial" w:eastAsia="Arial" w:hAnsi="Arial"/>
          <w:color w:val="1A4A8A"/>
          <w:sz w:val="22"/>
          <w:szCs w:val="22"/>
        </w:rPr>
        <w:t xml:space="preserve">UK Cybersecurity Guide: /uk-software-cybersecurity-guide/</w:t>
      </w:r>
    </w:p>
    <w:p>
      <w:pPr>
        <w:pStyle w:val="ListParagraph"/>
        <w:numPr>
          <w:ilvl w:val="0"/>
          <w:numId w:val="3"/>
        </w:numPr>
        <w:spacing w:after="60" w:before="60"/>
      </w:pPr>
      <w:r>
        <w:rPr>
          <w:rFonts w:ascii="Arial" w:cs="Arial" w:eastAsia="Arial" w:hAnsi="Arial"/>
          <w:color w:val="1A4A8A"/>
          <w:sz w:val="22"/>
          <w:szCs w:val="22"/>
        </w:rPr>
        <w:t xml:space="preserve">UK Architecture Guide: /uk-software-architecture-guide/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Testing Review</w:t>
            </w:r>
          </w:p>
          <w:p>
            <w:pPr>
              <w:spacing w:after="160" w:before="0"/>
            </w:pPr>
            <w:r>
              <w:rPr>
                <w:rFonts w:ascii="Arial" w:cs="Arial" w:eastAsia="Arial" w:hAnsi="Arial"/>
                <w:color w:val="BDD0E8"/>
                <w:sz w:val="22"/>
                <w:szCs w:val="22"/>
              </w:rPr>
              <w:t xml:space="preserve">ClickMasters will review your test suite against IEC 62304, NHS DTAC, FCA PS21/3, and GDS Service Standard.</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UK software testing specialist -- IEC 62304, NHS DTAC, FCA PS21/3, GDS</w:t>
            </w:r>
          </w:p>
          <w:p>
            <w:pPr>
              <w:spacing w:after="0" w:before="0"/>
            </w:pPr>
            <w:r>
              <w:rPr>
                <w:rFonts w:ascii="Arial" w:cs="Arial" w:eastAsia="Arial" w:hAnsi="Arial"/>
                <w:color w:val="1A2332"/>
                <w:sz w:val="20"/>
                <w:szCs w:val="20"/>
              </w:rPr>
              <w:t xml:space="preserve">Testing is not a phase at the end of development. In UK regulated software, it is evidence that the software meets clinical safety, regulatory compliance, and government service requirements.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uk software testing guide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2026-06-07T18:47:57.825Z</dcterms:created>
  <dcterms:modified xsi:type="dcterms:W3CDTF">2026-06-07T18:47:57.825Z</dcterms:modified>
</cp:coreProperties>
</file>

<file path=docProps/custom.xml><?xml version="1.0" encoding="utf-8"?>
<Properties xmlns="http://schemas.openxmlformats.org/officeDocument/2006/custom-properties" xmlns:vt="http://schemas.openxmlformats.org/officeDocument/2006/docPropsVTypes"/>
</file>