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UK NHS Digital Development Guide (2026) | ClickMasters
META DESC: NHS digital development guide. DTAC, NHS Login, FHIR R4 UK Core, GP Connect, EPS, HSCN, DCB0129.
SLUG: /uk-nhs-digital-development-guide/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15 min  |  Written by: James Whitmore, CTO  |  Reviewed by: ClickMasters NHS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UK NHS Digital Development Guide</w:t>
      </w:r>
    </w:p>
    <w:p>
      <w:pPr>
        <w:spacing w:after="60" w:before="60"/>
      </w:pPr>
    </w:p>
    <w:p>
      <w:pPr>
        <w:pStyle w:val="Heading1"/>
        <w:spacing w:after="160" w:before="360"/>
      </w:pPr>
      <w:r>
        <w:rPr>
          <w:rFonts w:ascii="Arial" w:cs="Arial" w:eastAsia="Arial" w:hAnsi="Arial"/>
          <w:b/>
          <w:bCs/>
          <w:color w:val="0B1F3A"/>
          <w:sz w:val="40"/>
          <w:szCs w:val="40"/>
        </w:rPr>
        <w:t xml:space="preserve">UK NHS Digital Development Guide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NHS DTAC</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NHS Login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FHIR R4</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HSCN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DCB0129</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NHS HealthTech development requires satisfying five NHS-specific frameworks: NHS DTAC (5 domains), NHS FHIR R4 UK Core (data interoperability), NHS Login (citizen authentication), DCB0129 (clinical safety), and HSCN connectivity (for GP Connect, PDS, EPS). ClickMasters has delivered 48 NHS digital products -- this guide is drawn from that experience.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NHS DTAC -- Five Domains Overview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2826"/>
      </w:tblGrid>
      <w:tr>
        <w:trPr>
          <w:tblHeader/>
        </w:trPr>
        <w:tc>
          <w:tcPr>
            <w:tcW w:type="dxa" w:w="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Domain</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Name</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Key Requirements</w:t>
            </w:r>
          </w:p>
        </w:tc>
        <w:tc>
          <w:tcPr>
            <w:tcW w:type="dxa" w:w="2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Evidence</w:t>
            </w:r>
          </w:p>
        </w:tc>
      </w:tr>
      <w:tr>
        <w:tc>
          <w:tcPr>
            <w:tcW w:type="dxa" w:w="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D1</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Data and Information Governance</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compliance, ICO registration, DPO, DPIA for high-risk processing</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DPIA for Article 9 data, ICO registration, DPA template</w:t>
            </w:r>
          </w:p>
        </w:tc>
      </w:tr>
      <w:tr>
        <w:tc>
          <w:tcPr>
            <w:tcW w:type="dxa" w:w="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D2</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Cyber Security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Data residency (AWS eu-west-2), encryption at rest/transit, penetration test</w:t>
            </w:r>
          </w:p>
        </w:tc>
        <w:tc>
          <w:tcPr>
            <w:tcW w:type="dxa" w:w="2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architecture diagram, CE Plus certificate, CREST pen test</w:t>
            </w:r>
          </w:p>
        </w:tc>
      </w:tr>
      <w:tr>
        <w:tc>
          <w:tcPr>
            <w:tcW w:type="dxa" w:w="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D3</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Technical Security</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SAST (Semgrep), DAST (OWASP ZAP), container scanning (Trivy), secret detection</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GitHub Actions security evidence pack, Security Hub findings</w:t>
            </w:r>
          </w:p>
        </w:tc>
      </w:tr>
      <w:tr>
        <w:tc>
          <w:tcPr>
            <w:tcW w:type="dxa" w:w="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D4</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Clinical Safety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DCB0129 clinical safety case, hazard log, Clinical Safety Officer sign-off</w:t>
            </w:r>
          </w:p>
        </w:tc>
        <w:tc>
          <w:tcPr>
            <w:tcW w:type="dxa" w:w="2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DCB0129 safety case, hazard log, CSO appointment letter</w:t>
            </w:r>
          </w:p>
        </w:tc>
      </w:tr>
      <w:tr>
        <w:tc>
          <w:tcPr>
            <w:tcW w:type="dxa" w:w="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D5</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Interoperability</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FHIR R4 UK Core, NHS Design System WCAG 2.1 AA, accessibility statement</w:t>
            </w:r>
          </w:p>
        </w:tc>
        <w:tc>
          <w:tcPr>
            <w:tcW w:type="dxa" w:w="2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FHIR validation report, axe scan results, accessibility statement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NHS Login -- Authentication Implementation</w:t>
            </w:r>
          </w:p>
        </w:tc>
      </w:tr>
    </w:tbl>
    <w:p>
      <w:pPr>
        <w:spacing w:after="60" w:before="60"/>
      </w:pPr>
    </w:p>
    <w:p>
      <w:pPr>
        <w:spacing w:after="160" w:before="100"/>
      </w:pPr>
      <w:r>
        <w:rPr>
          <w:rFonts w:ascii="Arial" w:cs="Arial" w:eastAsia="Arial" w:hAnsi="Arial"/>
          <w:b w:val="false"/>
          <w:bCs w:val="false"/>
          <w:color w:val="1A2332"/>
          <w:sz w:val="22"/>
          <w:szCs w:val="22"/>
        </w:rPr>
        <w:t xml:space="preserve">NHS Login is the single citizen authentication service for all NHS digital products. All patient-facing NHS HealthTech must use NHS Login. Two levels: P5 (email-verified, low assurance) and P9 (verified identity, high assurance -- required for prescriptions, GP records access).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OAuth 2.0 PKCE: Authorization Code flow. Client ID from NHS Login developer portal. Scopes: openid (required), email, profile, nhs_number (P9 only).</w:t>
      </w:r>
    </w:p>
    <w:p>
      <w:pPr>
        <w:pStyle w:val="ListParagraph"/>
        <w:numPr>
          <w:ilvl w:val="0"/>
          <w:numId w:val="2"/>
        </w:numPr>
        <w:spacing w:after="60" w:before="60"/>
      </w:pPr>
      <w:r>
        <w:rPr>
          <w:rFonts w:ascii="Arial" w:cs="Arial" w:eastAsia="Arial" w:hAnsi="Arial"/>
          <w:color w:val="1A2332"/>
          <w:sz w:val="22"/>
          <w:szCs w:val="22"/>
        </w:rPr>
        <w:t xml:space="preserve">P5 vs P9: P5 after email verification. P9 requires NHS Login to verify identity via GP registration data or photo ID -- days for new patients. Plan for P9 onboarding delay.</w:t>
      </w:r>
    </w:p>
    <w:p>
      <w:pPr>
        <w:pStyle w:val="ListParagraph"/>
        <w:numPr>
          <w:ilvl w:val="0"/>
          <w:numId w:val="2"/>
        </w:numPr>
        <w:spacing w:after="60" w:before="60"/>
      </w:pPr>
      <w:r>
        <w:rPr>
          <w:rFonts w:ascii="Arial" w:cs="Arial" w:eastAsia="Arial" w:hAnsi="Arial"/>
          <w:color w:val="1A2332"/>
          <w:sz w:val="22"/>
          <w:szCs w:val="22"/>
        </w:rPr>
        <w:t xml:space="preserve">Integration time: 1-2 weeks for OAuth 2.0 PKCE. Register in NHS Login sandbox on day 1. Production credentials require 2-4 weeks NHS Login onboarding review.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NHS FHIR R4 UK Core -- Key Integrations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000"/>
        <w:gridCol w:w="2226"/>
      </w:tblGrid>
      <w:tr>
        <w:trPr>
          <w:tblHeader/>
        </w:trPr>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NHS API</w:t>
            </w:r>
          </w:p>
        </w:tc>
        <w:tc>
          <w:tcPr>
            <w:tcW w:type="dxa" w:w="1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Standard</w:t>
            </w:r>
          </w:p>
        </w:tc>
        <w:tc>
          <w:tcPr>
            <w:tcW w:type="dxa" w:w="4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Provides</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HSCN Required</w:t>
            </w:r>
          </w:p>
        </w:tc>
      </w:tr>
      <w:tr>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PDS (Personal Demographics Service)</w:t>
            </w:r>
          </w:p>
        </w:tc>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FHIR R4 UK Core</w:t>
            </w:r>
          </w:p>
        </w:tc>
        <w:tc>
          <w:tcPr>
            <w:tcW w:type="dxa" w:w="4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Patient demographics -- NHS number, name, DOB, address, GP registration</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production</w:t>
            </w:r>
          </w:p>
        </w:tc>
      </w:tr>
      <w:tr>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GP Connect</w:t>
            </w:r>
          </w:p>
        </w:tc>
        <w:tc>
          <w:tcPr>
            <w:tcW w:type="dxa" w:w="1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FHIR R4 UK Core</w:t>
            </w:r>
          </w:p>
        </w:tc>
        <w:tc>
          <w:tcPr>
            <w:tcW w:type="dxa" w:w="4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GP appointments, medication list, allergy records, problem list</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production</w:t>
            </w:r>
          </w:p>
        </w:tc>
      </w:tr>
      <w:tr>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EPS (Electronic Prescriptions)</w:t>
            </w:r>
          </w:p>
        </w:tc>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HL7 v3 + FHIR R4</w:t>
            </w:r>
          </w:p>
        </w:tc>
        <w:tc>
          <w:tcPr>
            <w:tcW w:type="dxa" w:w="4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Prescription nomination, dispensing, repeat prescription management</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production</w:t>
            </w:r>
          </w:p>
        </w:tc>
      </w:tr>
      <w:tr>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eRS (e-Referral Service)</w:t>
            </w:r>
          </w:p>
        </w:tc>
        <w:tc>
          <w:tcPr>
            <w:tcW w:type="dxa" w:w="1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FHIR R4</w:t>
            </w:r>
          </w:p>
        </w:tc>
        <w:tc>
          <w:tcPr>
            <w:tcW w:type="dxa" w:w="4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Outpatient referral management, appointment booking</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production</w:t>
            </w:r>
          </w:p>
        </w:tc>
      </w:tr>
      <w:tr>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App API</w:t>
            </w:r>
          </w:p>
        </w:tc>
        <w:tc>
          <w:tcPr>
            <w:tcW w:type="dxa" w:w="1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w:t>
            </w:r>
          </w:p>
        </w:tc>
        <w:tc>
          <w:tcPr>
            <w:tcW w:type="dxa" w:w="4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App integration -- appointment viewing, GP registration</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Internet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NHS DTAC first-submission pass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experience across 48 NHS products: 84% first-submission success (40 of 48 products passed all 5 domains first time). Most common failure reasons: Domain 3 security (Semgrep not configured, missing DAST evidence -- most common), Domain 5 accessibility (axe violations on complex forms), Domain 1 DPIA incomplete. ClickMasters pre-review: comprehensive internal DTAC review 4 weeks before submission. Primary reason for 84% pass rate.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NHS DTAC cost?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Components: (1) DTAC assessor fee: GBP2,000-GBP8,000, (2) CREST penetration test: GBP3,000-GBP8,000, (3) ICO registration: GBP40-GBP2,900/year, (4) DCB0129 Clinical Safety Officer (if external): GBP2,000-GBP8,000, (5) legal review: GBP500-GBP2,000. Total first time: GBP8,000-GBP25,000. Annual renewal: GBP3,000-GBP8,000. ClickMasters includes DTAC evidence pack preparation in all NHS builds -- reducing assessor time and cost.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HealthTech Software UK: /healthtech-software-development/</w:t>
      </w:r>
    </w:p>
    <w:p>
      <w:pPr>
        <w:pStyle w:val="ListParagraph"/>
        <w:numPr>
          <w:ilvl w:val="0"/>
          <w:numId w:val="3"/>
        </w:numPr>
        <w:spacing w:after="60" w:before="60"/>
      </w:pPr>
      <w:r>
        <w:rPr>
          <w:rFonts w:ascii="Arial" w:cs="Arial" w:eastAsia="Arial" w:hAnsi="Arial"/>
          <w:color w:val="1A4A8A"/>
          <w:sz w:val="22"/>
          <w:szCs w:val="22"/>
        </w:rPr>
        <w:t xml:space="preserve">UK Architecture Guide: /uk-software-architecture-guide/</w:t>
      </w:r>
    </w:p>
    <w:p>
      <w:pPr>
        <w:pStyle w:val="ListParagraph"/>
        <w:numPr>
          <w:ilvl w:val="0"/>
          <w:numId w:val="3"/>
        </w:numPr>
        <w:spacing w:after="60" w:before="60"/>
      </w:pPr>
      <w:r>
        <w:rPr>
          <w:rFonts w:ascii="Arial" w:cs="Arial" w:eastAsia="Arial" w:hAnsi="Arial"/>
          <w:color w:val="1A4A8A"/>
          <w:sz w:val="22"/>
          <w:szCs w:val="22"/>
        </w:rPr>
        <w:t xml:space="preserve">UK Cybersecurity Guide: /uk-software-cybersecurity-guide/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NHS DTAC Review</w:t>
            </w:r>
          </w:p>
          <w:p>
            <w:pPr>
              <w:spacing w:after="160" w:before="0"/>
            </w:pPr>
            <w:r>
              <w:rPr>
                <w:rFonts w:ascii="Arial" w:cs="Arial" w:eastAsia="Arial" w:hAnsi="Arial"/>
                <w:color w:val="BDD0E8"/>
                <w:sz w:val="22"/>
                <w:szCs w:val="22"/>
              </w:rPr>
              <w:t xml:space="preserve">ClickMasters will review your product against all 5 DTAC domains and identify gaps before formal assessment.</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NHS HealthTech specialist -- 48 NHS digital products delivered</w:t>
            </w:r>
          </w:p>
          <w:p>
            <w:pPr>
              <w:spacing w:after="0" w:before="0"/>
            </w:pPr>
            <w:r>
              <w:rPr>
                <w:rFonts w:ascii="Arial" w:cs="Arial" w:eastAsia="Arial" w:hAnsi="Arial"/>
                <w:color w:val="1A2332"/>
                <w:sz w:val="20"/>
                <w:szCs w:val="20"/>
              </w:rPr>
              <w:t xml:space="preserve">84% first-submission DTAC pass rate. DTAC is navigable. The teams that struggle start preparing 2 weeks before submission.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uk nhs digital development guide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2026-06-08T04:41:20.023Z</dcterms:created>
  <dcterms:modified xsi:type="dcterms:W3CDTF">2026-06-08T04:41:20.023Z</dcterms:modified>
</cp:coreProperties>
</file>

<file path=docProps/custom.xml><?xml version="1.0" encoding="utf-8"?>
<Properties xmlns="http://schemas.openxmlformats.org/officeDocument/2006/custom-properties" xmlns:vt="http://schemas.openxmlformats.org/officeDocument/2006/docPropsVTypes"/>
</file>