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HealthTech NHS Genomics England Rare Disease Data Platform -- ClickMasters Case Study
META DESC: A genomics data company partnering with NHS Genomics England needed to build a rare disease variant interpreta...
SLUG: /case-studies/healthtech-nhs-genomics-england-rare-disease/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HealthTech NHS Genomics England Rare Disease Data Platform</w:t>
      </w:r>
    </w:p>
    <w:p>
      <w:pPr>
        <w:spacing w:after="60" w:before="60"/>
      </w:pPr>
    </w:p>
    <w:p>
      <w:pPr>
        <w:pStyle w:val="Heading1"/>
        <w:spacing w:after="160" w:before="360"/>
      </w:pPr>
      <w:r>
        <w:rPr>
          <w:rFonts w:ascii="Arial" w:cs="Arial" w:eastAsia="Arial" w:hAnsi="Arial"/>
          <w:b/>
          <w:bCs/>
          <w:color w:val="0B1F3A"/>
          <w:sz w:val="40"/>
          <w:szCs w:val="40"/>
        </w:rPr>
        <w:t xml:space="preserve">HealthTech NHS Genomics England Rare Disease Data 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HealthTech / Genomics / Rare Disease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Sector: HealthTech / Genomics / Rare Disease | Tech: React, Node.js/Fastify, PostgreSQL, Python (BioPython, GATK variant processing), Genomics England FHIR API, ClinVar API, gnomAD API, OMIM API, AWS S3 (VCF storage), AWS SageMaker (variant ML), AWS eu-west-2 | Compliance: MHRA Class IIa SaMD, UKCA (BSI), IEC 62304 Class B, DCB0129, NHS DTAC all 5 domains, ACMG/AMP guidelines, UK GDPR Article 9, NHS genomic data additional safeguards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color w:val="1A2332"/>
          <w:sz w:val="22"/>
          <w:szCs w:val="22"/>
        </w:rPr>
        <w:t xml:space="preserve">A genomics data company partnering with NHS Genomics England needed to build a rare disease variant interpretation platform -- helping clinical geneticists interpret genomic variants in patients with rare diseases. NHS Genomics England (100,000 Genomes Project successor -- Genomics England -- whole genome sequencing for rare disease and cancer patients), ACMG/AMP variant classification guidelines (5-tier classification: pathogenic, likely pathogenic, variant of uncertain significance, likely benign, benign), NHS DTAC all 5 domains, DCB0129, MHRA Class IIa SaMD, UK GDPR Article 9 (genomic data is health data), NHS GDPR additional safeguards (genomic data sensitivity). Budget GBP140,000.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color w:val="E8612A"/>
          <w:sz w:val="22"/>
          <w:szCs w:val="22"/>
        </w:rPr>
        <w:t xml:space="preserve">Genomics England API and WGS Data Integration: </w:t>
      </w:r>
      <w:r>
        <w:rPr>
          <w:rFonts w:ascii="Arial" w:cs="Arial" w:eastAsia="Arial" w:hAnsi="Arial"/>
          <w:b w:val="false"/>
          <w:bCs w:val="false"/>
          <w:color w:val="1A2332"/>
          <w:sz w:val="22"/>
          <w:szCs w:val="22"/>
        </w:rPr>
        <w:t xml:space="preserve">Genomics England Clinical Portal: NHS clinicians access genomic findings via the Genomics England Clinical Portal. Data integration: (1) Genomics England API (Genomics England provides FHIR-based API for clinical interpretation -- variant data, phenotype data, clinical reports), (2) VCF ingestion (Variant Call Format -- WGS variant data -- ingestion pipeline -- AWS S3 + GATK variant processing), (3) phenotype data (HPO -- Human Phenotype Ontology -- patient phenotype data from NHS clinical teams), (4) variant filtering (ClinVar, OMIM, gnomAD population frequency -- filter WGS variants for clinical significance), (5) family data (trio analysis -- patient + parents -- de novo variant identification). AWS: Genomics England uses AWS as primary cloud -- ClickMasters platform runs on same region (eu-west-2) as Genomics England data.</w:t>
      </w:r>
    </w:p>
    <w:p>
      <w:pPr>
        <w:spacing w:after="160" w:before="100"/>
      </w:pPr>
      <w:r>
        <w:rPr>
          <w:rFonts w:ascii="Arial" w:cs="Arial" w:eastAsia="Arial" w:hAnsi="Arial"/>
          <w:b/>
          <w:bCs/>
          <w:color w:val="E8612A"/>
          <w:sz w:val="22"/>
          <w:szCs w:val="22"/>
        </w:rPr>
        <w:t xml:space="preserve">ACMG/AMP Variant Classification Engine: </w:t>
      </w:r>
      <w:r>
        <w:rPr>
          <w:rFonts w:ascii="Arial" w:cs="Arial" w:eastAsia="Arial" w:hAnsi="Arial"/>
          <w:b w:val="false"/>
          <w:bCs w:val="false"/>
          <w:color w:val="1A2332"/>
          <w:sz w:val="22"/>
          <w:szCs w:val="22"/>
        </w:rPr>
        <w:t xml:space="preserve">ACMG/AMP (American College of Medical Genetics / Association for Molecular Pathology) variant classification: 5-tier classification system (pathogenic, likely pathogenic, VUS, likely benign, benign). Classification criteria: 28 evidence criteria (PVS1, PS1-PS4, PM1-PM6, PP1-PP5, BA1, BS1-BS4, BP1-BP7). Classification engine: (1) automated evidence gathering (ClinVar, gnomAD, OMIM, UniProt -- API queries for each variant), (2) rule-based classification (ACMG/AMP rules applied to gathered evidence -- preliminary classification), (3) clinical geneticist review (preliminary classification presented to geneticist -- review and override), (4) classification audit log (every classification decision logged -- who classified, when, evidence used), (5) variant curation database (classified variants stored -- future cases benefit from prior classification). DCB0129: AI classification engine aids, never replaces clinical geneticist -- final classification always by qualified CLIA-certified clinical geneticist.</w:t>
      </w:r>
    </w:p>
    <w:p>
      <w:pPr>
        <w:spacing w:after="160" w:before="100"/>
      </w:pPr>
      <w:r>
        <w:rPr>
          <w:rFonts w:ascii="Arial" w:cs="Arial" w:eastAsia="Arial" w:hAnsi="Arial"/>
          <w:b/>
          <w:bCs/>
          <w:color w:val="E8612A"/>
          <w:sz w:val="22"/>
          <w:szCs w:val="22"/>
        </w:rPr>
        <w:t xml:space="preserve">NHS Genomic Data GDPR and Additional Safeguards: </w:t>
      </w:r>
      <w:r>
        <w:rPr>
          <w:rFonts w:ascii="Arial" w:cs="Arial" w:eastAsia="Arial" w:hAnsi="Arial"/>
          <w:b w:val="false"/>
          <w:bCs w:val="false"/>
          <w:color w:val="1A2332"/>
          <w:sz w:val="22"/>
          <w:szCs w:val="22"/>
        </w:rPr>
        <w:t xml:space="preserve">Genomic data GDPR: whole genome sequencing data is the most sensitive personal data category -- potentially identifiable even after pseudonymisation. NHS GDPR additional safeguards for genomic data: (1) Genomics England data access committee (DAC) -- access to whole genome data requires DAC approval -- not available to ClickMasters platform without DAC, (2) de-identified variant data (ClickMasters platform works with de-identified variant data -- no WGS reads, no direct identifiers), (3) re-identification risk (WGS variant data can potentially re-identify individuals -- ICO guidance on genomic data), (4) research ethics (NHS HRA IRAS approval required if genomic data used for research beyond direct care), (5) patient consent (NHS Genomics England patients have consented to clinical care use -- research use requires separate consent). ClickMasters genomics platform: clinical care use only -- no research use -- avoids IRAS and DAC requirements.</w:t>
      </w:r>
    </w:p>
    <w:p>
      <w:pPr>
        <w:spacing w:after="160" w:before="100"/>
      </w:pPr>
      <w:r>
        <w:rPr>
          <w:rFonts w:ascii="Arial" w:cs="Arial" w:eastAsia="Arial" w:hAnsi="Arial"/>
          <w:b/>
          <w:bCs/>
          <w:color w:val="E8612A"/>
          <w:sz w:val="22"/>
          <w:szCs w:val="22"/>
        </w:rPr>
        <w:t xml:space="preserve">Rare Disease Clinical Workflow: </w:t>
      </w:r>
      <w:r>
        <w:rPr>
          <w:rFonts w:ascii="Arial" w:cs="Arial" w:eastAsia="Arial" w:hAnsi="Arial"/>
          <w:b w:val="false"/>
          <w:bCs w:val="false"/>
          <w:color w:val="1A2332"/>
          <w:sz w:val="22"/>
          <w:szCs w:val="22"/>
        </w:rPr>
        <w:t xml:space="preserve">Rare disease clinical workflow integration: (1) MDT (Multi-Disciplinary Team) meeting support (variant report generated for MDT -- PDF summary of variant classification, disease association, treatment implications), (2) OMIM disease annotation (Online Mendelian Inheritance in Man -- disease-gene associations -- every variant annotated with OMIM disease entries), (3) treatment implications (NICE guidance and NHS specialised commissioning -- treatment pathways for rare diseases triggered by genomic findings), (4) family cascade testing (if pathogenic variant found -- cascade testing for at-risk family members triggered), (5) Genomics England recontact (Genomics England recontact policy -- if new evidence reclassifies VUS as pathogenic -- platform triggers recontact workflow).</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color w:val="1A2332"/>
          <w:sz w:val="22"/>
          <w:szCs w:val="22"/>
        </w:rPr>
        <w:t xml:space="preserve">MHRA Class IIa UKCA obtained (BSI). NHS DTAC all 5 domains approved. Platform live at 34 weeks, GBP132,000. 4,200 rare disease cases in year one. ACMG classification accuracy: 96.8% agreement with clinical geneticist review (gold standard). VUS reclassification: 18.4% of initial VUS cases reclassified to likely pathogenic on 12-month review (new ClinVar evidence). Genomics England API: 100% integrated. DCB0129 zero incidents.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UKCA obtained. DTAC all 5. ACMG classification agreement 96.8%. VUS reclassification 18.4% on 12-month review. Genomics England API 100%. Zero DCB0129 incidents. The VUS reclassification rate -- 18.4% of variants of uncertain significance reclassified as likely pathogenic within 12 months as new evidence emerges -- is why rare disease genomics requires ongoing review, not a one-time interpretation. For patients waiting for a diagnosis that explains years of suffering, a VUS reclassification is the answer they have been waiting for. The platform makes that reclassification systematic rather than dependent on a clinician remembering to check ClinVar 12 months later. -- Lead Clinical Geneticist, NHS Genomics Centre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Python (BioPython, GATK variant processing), Genomics England FHIR API, ClinVar API, gnomAD API, OMIM API, AWS S3 (VCF storage), AWS SageMaker (variant ML),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MHRA Class IIa SaMD, UKCA (BSI), IEC 62304 Class B, DCB0129, NHS DTAC all 5 domains, ACMG/AMP guidelines, UK GDPR Article 9, NHS genomic data additional safeguards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Article | nhs genomics england rare disease platform, genomic variant classification uk nhs, healthtech genomics rare disease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2026-06-09T07:00:09.134Z</dcterms:created>
  <dcterms:modified xsi:type="dcterms:W3CDTF">2026-06-09T07:00:09.134Z</dcterms:modified>
</cp:coreProperties>
</file>

<file path=docProps/custom.xml><?xml version="1.0" encoding="utf-8"?>
<Properties xmlns="http://schemas.openxmlformats.org/officeDocument/2006/custom-properties" xmlns:vt="http://schemas.openxmlformats.org/officeDocument/2006/docPropsVTypes"/>
</file>