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IR35 Inside vs Outside — What's the Difference? UK 2025 | ClickMasters
META DESC: Inside IR35 vs outside IR35 explained. Tax impact, day rate calculations, SDS obligations, CEST limitations. How ClickMasters eliminates IR35 entirely. Free guide.
SLUG: /ir35-inside-vs-outside/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10 min  |  Written by: ClickMasters HR Team  |  Reviewed by: Employment law specialist reviewed</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IR35 Inside vs Outside UK</w:t>
      </w:r>
    </w:p>
    <w:p>
      <w:pPr>
        <w:spacing w:after="60" w:before="60"/>
      </w:pPr>
    </w:p>
    <w:p>
      <w:pPr>
        <w:pStyle w:val="Heading1"/>
        <w:spacing w:after="160" w:before="360"/>
      </w:pPr>
      <w:r>
        <w:rPr>
          <w:rFonts w:ascii="Arial" w:cs="Arial" w:eastAsia="Arial" w:hAnsi="Arial"/>
          <w:b/>
          <w:bCs/>
          <w:color w:val="0B1F3A"/>
          <w:sz w:val="40"/>
          <w:szCs w:val="40"/>
        </w:rPr>
        <w:t xml:space="preserve">IR35 Inside vs Outside — The Complete Tax Impact Guide (UK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 2021 Reform</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Tax Impact Calculator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SDS Obligations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CEST Tool</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ClickMasters Zero Risk</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Tax Law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"Inside IR35" means a contractor is taxed as an employee — income tax and National Insurance deducted by the fee payer from their gross contract fee. "Outside IR35" means the contractor is genuinely self-employed and pays their own taxes through their limited company (typically at a lower effective rate). Since April 2021, medium and large UK businesses are responsible for making the inside/outside determination. Getting it wrong creates significant HMRC liability. ClickMasters eliminates this risk entirely — our engineers are employees, not contractors.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Inside vs Outside IR35 — Tax Impact Comparison</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The tax difference between inside and outside IR35 is significant. Here is a worked example for a developer contracting at £500/day:</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282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Item</w:t>
            </w:r>
          </w:p>
        </w:tc>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Outside IR35</w:t>
            </w:r>
          </w:p>
        </w:tc>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Inside IR35</w:t>
            </w:r>
          </w:p>
        </w:tc>
        <w:tc>
          <w:tcPr>
            <w:tcW w:type="dxa" w:w="28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Difference</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Gross contract fee (220 days)</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£110,000</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£110,000</w:t>
            </w:r>
          </w:p>
        </w:tc>
        <w:tc>
          <w:tcPr>
            <w:tcW w:type="dxa" w:w="2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Employer NI deducted by fee payer</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None — paid by company</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£13,178 (13.8% of contract fee above threshold)</w:t>
            </w:r>
          </w:p>
        </w:tc>
        <w:tc>
          <w:tcPr>
            <w:tcW w:type="dxa" w:w="28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−£13,178 from pool available</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Effective gross income to contractor</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£110,000</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£96,822</w:t>
            </w:r>
          </w:p>
        </w:tc>
        <w:tc>
          <w:tcPr>
            <w:tcW w:type="dxa" w:w="2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−£13,178</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Income tax (20% / 40% / 45%)</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£32,432 (via company + salary)</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£38,528 (as employee)</w:t>
            </w:r>
          </w:p>
        </w:tc>
        <w:tc>
          <w:tcPr>
            <w:tcW w:type="dxa" w:w="28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−£6,096 additional tax</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Employee NI (8% / 2%)</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£8,059 (salary + dividends mix)</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£7,754 (PAYE NI)</w:t>
            </w:r>
          </w:p>
        </w:tc>
        <w:tc>
          <w:tcPr>
            <w:tcW w:type="dxa" w:w="2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Broadly similar</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Net take-home (approx)</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£69,509 (63% of gross contract)</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£50,540 (46% of gross contract)</w:t>
            </w:r>
          </w:p>
        </w:tc>
        <w:tc>
          <w:tcPr>
            <w:tcW w:type="dxa" w:w="28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−£18,969 per year</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Effective outside IR35 day rate to match inside take-home</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£608/day equivalent required</w:t>
            </w:r>
          </w:p>
        </w:tc>
        <w:tc>
          <w:tcPr>
            <w:tcW w:type="dxa" w:w="2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Contractor needs 22% rate increase inside IR35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This is why inside IR35 day rates are typically 15–25% higher than equivalent outside IR35 rates. The contractor is compensating for: (1) employer NI that reduces their effective income, (2) higher income tax on earnings taken as salary vs dividends. For UK businesses: when budgeting an inside IR35 engagement, add 15–25% to the "normal" market day rate.</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Status Determination Statement (SDS) — Your Legal Obligations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For every contractor engagement, medium and large UK businesses must:</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Issue a written SDS before or at the start of the engagement</w:t>
      </w:r>
    </w:p>
    <w:p>
      <w:pPr>
        <w:pStyle w:val="ListParagraph"/>
        <w:numPr>
          <w:ilvl w:val="0"/>
          <w:numId w:val="2"/>
        </w:numPr>
        <w:spacing w:after="60" w:before="60"/>
      </w:pPr>
      <w:r>
        <w:rPr>
          <w:rFonts w:ascii="Arial" w:cs="Arial" w:eastAsia="Arial" w:hAnsi="Arial"/>
          <w:b w:val="false"/>
          <w:bCs w:val="false"/>
          <w:color w:val="1A2332"/>
          <w:sz w:val="22"/>
          <w:szCs w:val="22"/>
        </w:rPr>
        <w:t xml:space="preserve">Include in the SDS: the determination (inside/outside), reasons for the determination, and the date</w:t>
      </w:r>
    </w:p>
    <w:p>
      <w:pPr>
        <w:pStyle w:val="ListParagraph"/>
        <w:numPr>
          <w:ilvl w:val="0"/>
          <w:numId w:val="2"/>
        </w:numPr>
        <w:spacing w:after="60" w:before="60"/>
      </w:pPr>
      <w:r>
        <w:rPr>
          <w:rFonts w:ascii="Arial" w:cs="Arial" w:eastAsia="Arial" w:hAnsi="Arial"/>
          <w:b w:val="false"/>
          <w:bCs w:val="false"/>
          <w:color w:val="1A2332"/>
          <w:sz w:val="22"/>
          <w:szCs w:val="22"/>
        </w:rPr>
        <w:t xml:space="preserve">Give the SDS to the contractor and any agency in the supply chain</w:t>
      </w:r>
    </w:p>
    <w:p>
      <w:pPr>
        <w:pStyle w:val="ListParagraph"/>
        <w:numPr>
          <w:ilvl w:val="0"/>
          <w:numId w:val="2"/>
        </w:numPr>
        <w:spacing w:after="60" w:before="60"/>
      </w:pPr>
      <w:r>
        <w:rPr>
          <w:rFonts w:ascii="Arial" w:cs="Arial" w:eastAsia="Arial" w:hAnsi="Arial"/>
          <w:b w:val="false"/>
          <w:bCs w:val="false"/>
          <w:color w:val="1A2332"/>
          <w:sz w:val="22"/>
          <w:szCs w:val="22"/>
        </w:rPr>
        <w:t xml:space="preserve">Apply "reasonable care" to the determination — a genuine, considered assessment (not a rubber stamp)</w:t>
      </w:r>
    </w:p>
    <w:p>
      <w:pPr>
        <w:pStyle w:val="ListParagraph"/>
        <w:numPr>
          <w:ilvl w:val="0"/>
          <w:numId w:val="2"/>
        </w:numPr>
        <w:spacing w:after="60" w:before="60"/>
      </w:pPr>
      <w:r>
        <w:rPr>
          <w:rFonts w:ascii="Arial" w:cs="Arial" w:eastAsia="Arial" w:hAnsi="Arial"/>
          <w:b w:val="false"/>
          <w:bCs w:val="false"/>
          <w:color w:val="1A2332"/>
          <w:sz w:val="22"/>
          <w:szCs w:val="22"/>
        </w:rPr>
        <w:t xml:space="preserve">Respond to any contractor challenge within 45 days with revised determination + reasons or confirmation + reasons</w:t>
      </w:r>
    </w:p>
    <w:p>
      <w:pPr>
        <w:pStyle w:val="ListParagraph"/>
        <w:numPr>
          <w:ilvl w:val="0"/>
          <w:numId w:val="2"/>
        </w:numPr>
        <w:spacing w:after="60" w:before="60"/>
      </w:pPr>
      <w:r>
        <w:rPr>
          <w:rFonts w:ascii="Arial" w:cs="Arial" w:eastAsia="Arial" w:hAnsi="Arial"/>
          <w:b w:val="false"/>
          <w:bCs w:val="false"/>
          <w:color w:val="1A2332"/>
          <w:sz w:val="22"/>
          <w:szCs w:val="22"/>
        </w:rPr>
        <w:t xml:space="preserve">Retain SDS documentation for HMRC audit purposes (up to 6 years)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CEA" w:sz="1"/>
              <w:left w:val="single" w:color="FDECEA" w:sz="1"/>
              <w:bottom w:val="single" w:color="FDECEA" w:sz="1"/>
              <w:right w:val="single" w:color="FDECEA" w:sz="1"/>
            </w:tcBorders>
            <w:shd w:fill="FDECE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C0392B"/>
                <w:sz w:val="20"/>
                <w:szCs w:val="20"/>
              </w:rPr>
              <w:t xml:space="preserve">Blanket determinations are banned: HMRC explicitly prohibits categorising all contractors as inside IR35 without individual assessment. If challenged, a blanket determination is evidence of failure to take "reasonable care" — which shifts liability to you.</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ClickMasters Alternative — Zero IR35 Risk</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ClickMasters eliminates IR35 risk entirely. Our engineers are ClickMasters employees — not contractors through personal service companies. When you engage ClickMasters:</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No SDS required — you engage a company, not an individual contractor</w:t>
      </w:r>
    </w:p>
    <w:p>
      <w:pPr>
        <w:pStyle w:val="ListParagraph"/>
        <w:numPr>
          <w:ilvl w:val="0"/>
          <w:numId w:val="2"/>
        </w:numPr>
        <w:spacing w:after="60" w:before="60"/>
      </w:pPr>
      <w:r>
        <w:rPr>
          <w:rFonts w:ascii="Arial" w:cs="Arial" w:eastAsia="Arial" w:hAnsi="Arial"/>
          <w:b w:val="false"/>
          <w:bCs w:val="false"/>
          <w:color w:val="1A2332"/>
          <w:sz w:val="22"/>
          <w:szCs w:val="22"/>
        </w:rPr>
        <w:t xml:space="preserve">No IR35 determination — the off-payroll rules simply do not apply</w:t>
      </w:r>
    </w:p>
    <w:p>
      <w:pPr>
        <w:pStyle w:val="ListParagraph"/>
        <w:numPr>
          <w:ilvl w:val="0"/>
          <w:numId w:val="2"/>
        </w:numPr>
        <w:spacing w:after="60" w:before="60"/>
      </w:pPr>
      <w:r>
        <w:rPr>
          <w:rFonts w:ascii="Arial" w:cs="Arial" w:eastAsia="Arial" w:hAnsi="Arial"/>
          <w:b w:val="false"/>
          <w:bCs w:val="false"/>
          <w:color w:val="1A2332"/>
          <w:sz w:val="22"/>
          <w:szCs w:val="22"/>
        </w:rPr>
        <w:t xml:space="preserve">No HMRC liability for unpaid income tax or NI</w:t>
      </w:r>
    </w:p>
    <w:p>
      <w:pPr>
        <w:pStyle w:val="ListParagraph"/>
        <w:numPr>
          <w:ilvl w:val="0"/>
          <w:numId w:val="2"/>
        </w:numPr>
        <w:spacing w:after="60" w:before="60"/>
      </w:pPr>
      <w:r>
        <w:rPr>
          <w:rFonts w:ascii="Arial" w:cs="Arial" w:eastAsia="Arial" w:hAnsi="Arial"/>
          <w:b w:val="false"/>
          <w:bCs w:val="false"/>
          <w:color w:val="1A2332"/>
          <w:sz w:val="22"/>
          <w:szCs w:val="22"/>
        </w:rPr>
        <w:t xml:space="preserve">One monthly invoice from ClickMasters — not multiple PSC invoices</w:t>
      </w:r>
    </w:p>
    <w:p>
      <w:pPr>
        <w:pStyle w:val="ListParagraph"/>
        <w:numPr>
          <w:ilvl w:val="0"/>
          <w:numId w:val="2"/>
        </w:numPr>
        <w:spacing w:after="60" w:before="60"/>
      </w:pPr>
      <w:r>
        <w:rPr>
          <w:rFonts w:ascii="Arial" w:cs="Arial" w:eastAsia="Arial" w:hAnsi="Arial"/>
          <w:b w:val="false"/>
          <w:bCs w:val="false"/>
          <w:color w:val="1A2332"/>
          <w:sz w:val="22"/>
          <w:szCs w:val="22"/>
        </w:rPr>
        <w:t xml:space="preserve">ClickMasters handles all PAYE, NI, and pension obligations for our team</w:t>
      </w:r>
    </w:p>
    <w:p>
      <w:pPr>
        <w:spacing w:after="60" w:before="60"/>
      </w:pPr>
    </w:p>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happens if HMRC investigates an incorrect IR35 determination?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If HMRC investigates and finds that a contractor was incorrectly classified as outside IR35, the fee payer (you) owes: unpaid income tax, employee NI, employer NI (13.8% on top of what you already paid), interest on unpaid amounts, and penalties (up to 100% of the tax owed in serious cases). HMRC can investigate up to 20 years back for fraud, 4–6 years for non-deliberate errors. The total liability per contractor can easily exceed £50,000 per year of incorrect engagement.</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the HMRC CEST tool reliable for IR35 determinations?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CEST (Check Employment Status for Tax) is HMRC's online assessment tool. Key limitations: it produces "cannot determine" in approximately 21% of cases; it does not fully reflect all relevant case law; it has been criticised for not properly weighting mutuality of obligation; and HMRC only stands behind CEST results if the information entered was accurate — which requires expertise to get right. A CEST "outside IR35" result does not guarantee immunity from HMRC challenge if the facts change or were entered incorrectly.</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I use one SDS for a long-running engagement?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An SDS covers the engagement as described. If working arrangements change significantly during the engagement (hours, control, location, etc.), a new SDS may be required. For engagements spanning multiple years, annual SDS review is recommended. Significant changes in working pattern that make an outside IR35 determination incorrect create ongoing HMRC liability even if the original SDS was correct at the time.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IR35 Complete Guide UK: /ir35-software-development/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IR35 Status Determination UK: /ir35-status-determination/</w:t>
      </w:r>
    </w:p>
    <w:p>
      <w:pPr>
        <w:pStyle w:val="ListParagraph"/>
        <w:numPr>
          <w:ilvl w:val="0"/>
          <w:numId w:val="3"/>
        </w:numPr>
        <w:spacing w:after="60" w:before="60"/>
      </w:pPr>
      <w:r>
        <w:rPr>
          <w:rFonts w:ascii="Arial" w:cs="Arial" w:eastAsia="Arial" w:hAnsi="Arial"/>
          <w:b w:val="false"/>
          <w:bCs w:val="false"/>
          <w:color w:val="1A2332"/>
          <w:sz w:val="22"/>
          <w:szCs w:val="22"/>
        </w:rPr>
        <w:t xml:space="preserve">Staff Augmentation UK: /staff-augmentation/</w:t>
      </w:r>
    </w:p>
    <w:p>
      <w:pPr>
        <w:pStyle w:val="ListParagraph"/>
        <w:numPr>
          <w:ilvl w:val="0"/>
          <w:numId w:val="3"/>
        </w:numPr>
        <w:spacing w:after="60" w:before="60"/>
      </w:pPr>
      <w:r>
        <w:rPr>
          <w:rFonts w:ascii="Arial" w:cs="Arial" w:eastAsia="Arial" w:hAnsi="Arial"/>
          <w:b w:val="false"/>
          <w:bCs w:val="false"/>
          <w:color w:val="1A2332"/>
          <w:sz w:val="22"/>
          <w:szCs w:val="22"/>
        </w:rPr>
        <w:t xml:space="preserve">Hire Developers London: /hire-react-developer-london/</w:t>
      </w:r>
    </w:p>
    <w:p>
      <w:pPr>
        <w:pStyle w:val="ListParagraph"/>
        <w:numPr>
          <w:ilvl w:val="0"/>
          <w:numId w:val="3"/>
        </w:numPr>
        <w:spacing w:after="60" w:before="60"/>
      </w:pPr>
      <w:r>
        <w:rPr>
          <w:rFonts w:ascii="Arial" w:cs="Arial" w:eastAsia="Arial" w:hAnsi="Arial"/>
          <w:b w:val="false"/>
          <w:bCs w:val="false"/>
          <w:color w:val="1A2332"/>
          <w:sz w:val="22"/>
          <w:szCs w:val="22"/>
        </w:rPr>
        <w:t xml:space="preserve">Software Developer Day Rates UK: /software-developer-day-rates-uk/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Developers Without IR35 Risk</w:t>
            </w:r>
          </w:p>
          <w:p>
            <w:pPr>
              <w:spacing w:after="160" w:before="0"/>
            </w:pPr>
            <w:r>
              <w:rPr>
                <w:rFonts w:ascii="Arial" w:cs="Arial" w:eastAsia="Arial" w:hAnsi="Arial"/>
                <w:color w:val="BDD0E8"/>
                <w:sz w:val="22"/>
                <w:szCs w:val="22"/>
              </w:rPr>
              <w:t xml:space="preserve">ClickMasters engineers are our employees. Zero IR35 liability for your business. Book a free consultation.</w:t>
            </w:r>
          </w:p>
          <w:p>
            <w:pPr>
              <w:spacing w:after="0" w:before="0"/>
            </w:pPr>
            <w:r>
              <w:rPr>
                <w:rFonts w:ascii="Arial" w:cs="Arial" w:eastAsia="Arial" w:hAnsi="Arial"/>
                <w:b/>
                <w:bCs/>
                <w:color w:val="E8612A"/>
                <w:sz w:val="22"/>
                <w:szCs w:val="22"/>
              </w:rPr>
              <w:t xml:space="preserve">→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HR &amp; Tax Team</w:t>
            </w:r>
          </w:p>
          <w:p>
            <w:pPr>
              <w:spacing w:after="80" w:before="0"/>
            </w:pPr>
            <w:r>
              <w:rPr>
                <w:rFonts w:ascii="Arial" w:cs="Arial" w:eastAsia="Arial" w:hAnsi="Arial"/>
                <w:b/>
                <w:bCs/>
                <w:color w:val="E8612A"/>
                <w:sz w:val="20"/>
                <w:szCs w:val="20"/>
              </w:rPr>
              <w:t xml:space="preserve">IR35 compliance specialists — employment law reviewed</w:t>
            </w:r>
          </w:p>
          <w:p>
            <w:pPr>
              <w:spacing w:after="0" w:before="0"/>
            </w:pPr>
            <w:r>
              <w:rPr>
                <w:rFonts w:ascii="Arial" w:cs="Arial" w:eastAsia="Arial" w:hAnsi="Arial"/>
                <w:color w:val="1A2332"/>
                <w:sz w:val="20"/>
                <w:szCs w:val="20"/>
              </w:rPr>
              <w:t xml:space="preserve">This guide has been reviewed by a UK employment law specialist. Always seek professional tax advice for your specific IR35 situation.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"inside vs outside ir35 uk" (500/mo), "ir35 inside vs outside explained"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2026-05-22T10:20:12.476Z</dcterms:created>
  <dcterms:modified xsi:type="dcterms:W3CDTF">2026-05-22T10:20:12.476Z</dcterms:modified>
</cp:coreProperties>
</file>

<file path=docProps/custom.xml><?xml version="1.0" encoding="utf-8"?>
<Properties xmlns="http://schemas.openxmlformats.org/officeDocument/2006/custom-properties" xmlns:vt="http://schemas.openxmlformats.org/officeDocument/2006/docPropsVTypes"/>
</file>