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Multi-Tenant Legal Matter Management SaaS — ClickMasters Case Study
META DESC: Multi-Tenant Legal Matter Management SaaS. A UK LegalTech startup needed to build a B2B SaaS platform for small and mid-size law firms — replacing spreadsheets and...
SLUG: /case-studies/legal-matter-management-saas/
SCHEMA: Article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Multi-Tenant Legal Matter Management SaaS</w:t>
      </w:r>
    </w:p>
    <w:p>
      <w:pPr>
        <w:spacing w:after="60" w:before="60"/>
      </w:pPr>
    </w:p>
    <w:p>
      <w:pPr>
        <w:pStyle w:val="Heading1"/>
        <w:spacing w:after="160" w:before="360"/>
      </w:pPr>
      <w:r>
        <w:rPr>
          <w:rFonts w:ascii="Arial" w:cs="Arial" w:eastAsia="Arial" w:hAnsi="Arial"/>
          <w:b/>
          <w:bCs/>
          <w:color w:val="0B1F3A"/>
          <w:sz w:val="40"/>
          <w:szCs w:val="40"/>
        </w:rPr>
        <w:t xml:space="preserve">Multi-Tenant Legal Matter Management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SaaS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Client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Compliant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SaaS | Technology: Next.js, Node.js, TypeScript, PostgreSQL (separate DB per tenant), Stripe, AWS eu-west-2, Dow Jones Sanctions API, Terraform | Compliance: SRA-aware data architecture, Legal Professional Privilege, AML (MLRs 2017),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 — Situation &amp; Problem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LegalTech startup needed to build a B2B SaaS platform for small and mid-size law firms — replacing spreadsheets and email for matter management, client onboarding, and billing. The platform needed to handle legal professional privilege (LPP) data correctly, support AML/KYC workflows for estate agents and certain business law clients, and integrate with the UK legal billing standard (time recording, disbursements, VAT). The founding team had no previous software build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 — What We Built</w:t>
            </w:r>
          </w:p>
        </w:tc>
      </w:tr>
    </w:tbl>
    <w:p>
      <w:pPr>
        <w:spacing w:after="60" w:before="60"/>
      </w:pPr>
    </w:p>
    <w:p>
      <w:pPr>
        <w:spacing w:after="160" w:before="100"/>
      </w:pPr>
      <w:r>
        <w:rPr>
          <w:rFonts w:ascii="Arial" w:cs="Arial" w:eastAsia="Arial" w:hAnsi="Arial"/>
          <w:b/>
          <w:bCs/>
          <w:i w:val="false"/>
          <w:iCs w:val="false"/>
          <w:color w:val="E8612A"/>
          <w:sz w:val="22"/>
          <w:szCs w:val="22"/>
        </w:rPr>
        <w:t xml:space="preserve">SaaS Architecture: </w:t>
      </w:r>
      <w:r>
        <w:rPr>
          <w:rFonts w:ascii="Arial" w:cs="Arial" w:eastAsia="Arial" w:hAnsi="Arial"/>
          <w:b w:val="false"/>
          <w:bCs w:val="false"/>
          <w:i w:val="false"/>
          <w:iCs w:val="false"/>
          <w:color w:val="1A2332"/>
          <w:sz w:val="22"/>
          <w:szCs w:val="22"/>
        </w:rPr>
        <w:t xml:space="preserve">PostgreSQL separate database per tenant (LPP data isolation requirement), Next.js frontend, Node.js API, Stripe billing (per-seat pricing model), AWS eu-west-2. UK GDPR Article 28 DPA in Terms of Service.</w:t>
      </w:r>
    </w:p>
    <w:p>
      <w:pPr>
        <w:spacing w:after="160" w:before="100"/>
      </w:pPr>
      <w:r>
        <w:rPr>
          <w:rFonts w:ascii="Arial" w:cs="Arial" w:eastAsia="Arial" w:hAnsi="Arial"/>
          <w:b/>
          <w:bCs/>
          <w:i w:val="false"/>
          <w:iCs w:val="false"/>
          <w:color w:val="E8612A"/>
          <w:sz w:val="22"/>
          <w:szCs w:val="22"/>
        </w:rPr>
        <w:t xml:space="preserve">Legal Professional Privilege Architecture: </w:t>
      </w:r>
      <w:r>
        <w:rPr>
          <w:rFonts w:ascii="Arial" w:cs="Arial" w:eastAsia="Arial" w:hAnsi="Arial"/>
          <w:b w:val="false"/>
          <w:bCs w:val="false"/>
          <w:i w:val="false"/>
          <w:iCs w:val="false"/>
          <w:color w:val="1A2332"/>
          <w:sz w:val="22"/>
          <w:szCs w:val="22"/>
        </w:rPr>
        <w:t xml:space="preserve">Document-level privilege tagging. Access controls enforcing LPP restrictions. SAR (Subject Access Request) response workflow that screens for LPP before disclosure. Audit log of all access to privileged documents.</w:t>
      </w:r>
    </w:p>
    <w:p>
      <w:pPr>
        <w:spacing w:after="160" w:before="100"/>
      </w:pPr>
      <w:r>
        <w:rPr>
          <w:rFonts w:ascii="Arial" w:cs="Arial" w:eastAsia="Arial" w:hAnsi="Arial"/>
          <w:b/>
          <w:bCs/>
          <w:i w:val="false"/>
          <w:iCs w:val="false"/>
          <w:color w:val="E8612A"/>
          <w:sz w:val="22"/>
          <w:szCs w:val="22"/>
        </w:rPr>
        <w:t xml:space="preserve">AML Workflow: </w:t>
      </w:r>
      <w:r>
        <w:rPr>
          <w:rFonts w:ascii="Arial" w:cs="Arial" w:eastAsia="Arial" w:hAnsi="Arial"/>
          <w:b w:val="false"/>
          <w:bCs w:val="false"/>
          <w:i w:val="false"/>
          <w:iCs w:val="false"/>
          <w:color w:val="1A2332"/>
          <w:sz w:val="22"/>
          <w:szCs w:val="22"/>
        </w:rPr>
        <w:t xml:space="preserve">CDD workflow with configurable EDD triggers. MLRO escalation process. Sanctions screening integration (Dow Jones). POCA 2002 tipping-off awareness — the system does not reveal SAR filing to subjects. Retention: 5 years per MLRs 2017.</w:t>
      </w:r>
    </w:p>
    <w:p>
      <w:pPr>
        <w:spacing w:after="160" w:before="100"/>
      </w:pPr>
      <w:r>
        <w:rPr>
          <w:rFonts w:ascii="Arial" w:cs="Arial" w:eastAsia="Arial" w:hAnsi="Arial"/>
          <w:b/>
          <w:bCs/>
          <w:i w:val="false"/>
          <w:iCs w:val="false"/>
          <w:color w:val="E8612A"/>
          <w:sz w:val="22"/>
          <w:szCs w:val="22"/>
        </w:rPr>
        <w:t xml:space="preserve">Delivery: </w:t>
      </w:r>
      <w:r>
        <w:rPr>
          <w:rFonts w:ascii="Arial" w:cs="Arial" w:eastAsia="Arial" w:hAnsi="Arial"/>
          <w:b w:val="false"/>
          <w:bCs w:val="false"/>
          <w:i w:val="false"/>
          <w:iCs w:val="false"/>
          <w:color w:val="1A2332"/>
          <w:sz w:val="22"/>
          <w:szCs w:val="22"/>
        </w:rPr>
        <w:t xml:space="preserve">Fixed price: £85,000. 18-week build. R&amp;D Tax Credits documented — client claimed £18,700 after completion.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 — Outcomes &amp; Impact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on time at agreed price. 12 law firm customers within 3 months of launch. 0 data incidents. SRA audit of a client firm — platform's audit logs cited as exemplary evidence. Seed investment secured post-launch at 4x pre-launch valuation.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"ClickMasters understood the specific data architecture challenges of legal software — particularly LPP — without us having to explain them. The AML workflow they designed is genuinely compliant, not just checkbox-ticking." — CEO, UK LegalTech Startup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Technology Stack &amp; 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 Used</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 TypeScript, PostgreSQL (separate DB per tenant), Stripe, AWS eu-west-2, Dow Jones Sanctions API,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 Achieved</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SRA-aware data architecture, Legal Professional Privilege, AML (MLRs 2017),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Delivery Model</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 — 2-week sprints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Timeline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Delivered on agreed schedule</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 on delivery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pStyle w:val="ListParagraph"/>
        <w:numPr>
          <w:ilvl w:val="0"/>
          <w:numId w:val="2"/>
        </w:numPr>
        <w:spacing w:after="60" w:before="60"/>
      </w:pPr>
      <w:r>
        <w:rPr>
          <w:rFonts w:ascii="Arial" w:cs="Arial" w:eastAsia="Arial" w:hAnsi="Arial"/>
          <w:b w:val="false"/>
          <w:bCs w:val="false"/>
          <w:color w:val="1A2332"/>
          <w:sz w:val="22"/>
          <w:szCs w:val="22"/>
        </w:rPr>
        <w:t xml:space="preserve">Book a Consultation: /contact/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 We'll scope your project and give you a realistic cost and timeline estimate.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Case study: legaltech software development uk, legal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2026-05-22T10:32:13.335Z</dcterms:created>
  <dcterms:modified xsi:type="dcterms:W3CDTF">2026-05-22T10:32:13.335Z</dcterms:modified>
</cp:coreProperties>
</file>

<file path=docProps/custom.xml><?xml version="1.0" encoding="utf-8"?>
<Properties xmlns="http://schemas.openxmlformats.org/officeDocument/2006/custom-properties" xmlns:vt="http://schemas.openxmlformats.org/officeDocument/2006/docPropsVTypes"/>
</file>