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Monolith vs Microservices UK — When to Choose Each | ClickMasters
META DESC: Monolith vs microservices for UK software. Conway's Law, team size thresholds, UK GDPR implications, performance at scale. Honest decision framework. Free consultation.
SLUG: /monolith-vs-microservices/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10 min  |  Written by: ClickMasters Architecture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Monolith vs Microservices UK</w:t>
      </w:r>
    </w:p>
    <w:p>
      <w:pPr>
        <w:spacing w:after="60" w:before="60"/>
      </w:pPr>
    </w:p>
    <w:p>
      <w:pPr>
        <w:pStyle w:val="Heading1"/>
        <w:spacing w:after="160" w:before="360"/>
      </w:pPr>
      <w:r>
        <w:rPr>
          <w:rFonts w:ascii="Arial" w:cs="Arial" w:eastAsia="Arial" w:hAnsi="Arial"/>
          <w:b/>
          <w:bCs/>
          <w:color w:val="0B1F3A"/>
          <w:sz w:val="40"/>
          <w:szCs w:val="40"/>
        </w:rPr>
        <w:t xml:space="preserve">Monolith vs Microservices UK — The Honest Decision Framework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Monolith First</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Microservices When Ready</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Team Size Threshold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TCO Comparison</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Engineering Context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Start with a modular monolith unless you have a specific reason to use microservices. The industry's rush to microservices has created countless over-engineered systems with unnecessary operational complexity. The right time to adopt microservices is when: you have multiple teams who need to deploy independently, you have specific services that require different scaling characteristics, or your deployment frequency is bottlenecked by coordination overhead. For most UK startups and SMBs, a well-structured monolith is the right architecture. ClickMasters builds modular monoliths by default and migrates to microservices when justified.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Decision Framework — 6 Key Signals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rPr>
          <w:tblHeader/>
        </w:trPr>
        <w:tc>
          <w:tcPr>
            <w:tcW w:type="dxa" w:w="2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Signal</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Recommendation</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Reasoning</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 size &lt; 8 engineers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Monolith</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Microservices add operational overhead that a small team can't absorb. One team = one codebase.</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 size 8–20 engineers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Modular Monolith → consider migration</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Clean internal module boundaries enable eventual decomposition without architectural rebuild.</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 size &gt; 20 (multiple teams)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Microservices viable</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Conway's Law — team structure should map to service architecture.</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Services need different scaling</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Microservices for those services</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e.g., payment processing needs 10x capacity during peak; notification service needs 1x.</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Multiple programming languages needed</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Microservices</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e.g., ML model in Python; API in Node.js; report generation in Go.</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Early-stage startup / MVP</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Monolith</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Validate product-market fit first. Refactor later if needed. Premature optimisation kills startups.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Conway's Law — Why Team Structure Determines Architecture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Conway's Law (1967) states: "Any organisation that designs a system will produce a design whose structure is a copy of the organisation's communication structure." In software: if you have one team, you will naturally build a monolith. If you have five teams, you will naturally build five services. This is not a coincidence — it reflects how coordination costs work. Microservices are most valuable when they allow different teams to work independently without coordination overhead. If your team is so small that everyone talks to everyone else anyway, microservices add complexity without reducing coordination costs.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UK GDPR and Microservices — The Hidden Compliance Complexity</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Microservices create significant UK GDPR compliance complexity that monoliths do not:</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Right to Erasure: personal data may be stored in 5–15 services. Erasure must cascade across all of them — including caches, event stores, and message queues. In a monolith, a single cascade delete handles this.</w:t>
      </w:r>
    </w:p>
    <w:p>
      <w:pPr>
        <w:pStyle w:val="ListParagraph"/>
        <w:numPr>
          <w:ilvl w:val="0"/>
          <w:numId w:val="2"/>
        </w:numPr>
        <w:spacing w:after="60" w:before="60"/>
      </w:pPr>
      <w:r>
        <w:rPr>
          <w:rFonts w:ascii="Arial" w:cs="Arial" w:eastAsia="Arial" w:hAnsi="Arial"/>
          <w:b w:val="false"/>
          <w:bCs w:val="false"/>
          <w:color w:val="1A2332"/>
          <w:sz w:val="22"/>
          <w:szCs w:val="22"/>
        </w:rPr>
        <w:t xml:space="preserve">Audit Logging: access to personal data across 15 services creates 15 separate audit log streams. Aggregating these for ICO accountability evidence requires additional infrastructure (Kafka, Elasticsearch).</w:t>
      </w:r>
    </w:p>
    <w:p>
      <w:pPr>
        <w:pStyle w:val="ListParagraph"/>
        <w:numPr>
          <w:ilvl w:val="0"/>
          <w:numId w:val="2"/>
        </w:numPr>
        <w:spacing w:after="60" w:before="60"/>
      </w:pPr>
      <w:r>
        <w:rPr>
          <w:rFonts w:ascii="Arial" w:cs="Arial" w:eastAsia="Arial" w:hAnsi="Arial"/>
          <w:b w:val="false"/>
          <w:bCs w:val="false"/>
          <w:color w:val="1A2332"/>
          <w:sz w:val="22"/>
          <w:szCs w:val="22"/>
        </w:rPr>
        <w:t xml:space="preserve">Data Subject Access Requests: compiling all personal data for a DSAR requires querying all services. In a monolith, one query covers all personal data.</w:t>
      </w:r>
    </w:p>
    <w:p>
      <w:pPr>
        <w:pStyle w:val="ListParagraph"/>
        <w:numPr>
          <w:ilvl w:val="0"/>
          <w:numId w:val="2"/>
        </w:numPr>
        <w:spacing w:after="60" w:before="60"/>
      </w:pPr>
      <w:r>
        <w:rPr>
          <w:rFonts w:ascii="Arial" w:cs="Arial" w:eastAsia="Arial" w:hAnsi="Arial"/>
          <w:b w:val="false"/>
          <w:bCs w:val="false"/>
          <w:color w:val="1A2332"/>
          <w:sz w:val="22"/>
          <w:szCs w:val="22"/>
        </w:rPr>
        <w:t xml:space="preserve">Article 30 Records: each service that processes personal data needs its own record of processing activities entry. 15 microservices = 15 processing activities entries.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Modular Monolith Advantage: A well-structured modular monolith handles all of these UK GDPR requirements with far less complexity than a microservices equivalent. ClickMasters recommends modular monolith architectures for startups and SMBs unless the team size and deployment frequency genuinely justify microservices.</w:t>
            </w:r>
          </w:p>
        </w:tc>
      </w:tr>
    </w:tbl>
    <w:p>
      <w:pPr>
        <w:spacing w:after="60" w:before="60"/>
      </w:pPr>
    </w:p>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When is it too early for microservices?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It is too early for microservices when: your team has fewer than 8 engineers, your codebase is less than 2 years old, your deployment frequency is once a week or less, you don't have multiple teams who need to deploy independently, and your system does not have specific services requiring dramatically different scaling. Most UK startups that adopt microservices prematurely spend 18 months untangling the complexity they created and either revert to a monolith or hire expensive distributed systems engineers to manage it.</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a modular monolith?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 modular monolith (sometimes called a "structured monolith") is a single-deployable application with clear internal boundaries between modules. Each module: has a well-defined API (even if internal), owns its data (no other module directly accesses its database tables), and can be reasoned about independently. A good modular monolith is much easier to decompose into microservices later than a "big ball of mud" monolith — and is easier to operate than microservices now.</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 you migrate from monolith to microservices safely?</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The safest approach is the strangler fig pattern: incrementally extract services at the edges of the monolith while the monolith continues to function. Start with: the service with the most independent deployment requirements, the service with the clearest bounded context (from Domain-Driven Design), and the service that genuinely needs different scaling. Do not attempt to decompose the entire monolith at once — this "big bang" migration has an extremely poor success rate.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Microservices Architecture UK: /microservices-architecture/</w:t>
      </w:r>
    </w:p>
    <w:p>
      <w:pPr>
        <w:pStyle w:val="ListParagraph"/>
        <w:numPr>
          <w:ilvl w:val="0"/>
          <w:numId w:val="3"/>
        </w:numPr>
        <w:spacing w:after="60" w:before="60"/>
      </w:pPr>
      <w:r>
        <w:rPr>
          <w:rFonts w:ascii="Arial" w:cs="Arial" w:eastAsia="Arial" w:hAnsi="Arial"/>
          <w:b w:val="false"/>
          <w:bCs w:val="false"/>
          <w:color w:val="1A2332"/>
          <w:sz w:val="22"/>
          <w:szCs w:val="22"/>
        </w:rPr>
        <w:t xml:space="preserve">Domain-Driven Design: /glossary/ddd-definition/</w:t>
      </w:r>
    </w:p>
    <w:p>
      <w:pPr>
        <w:pStyle w:val="ListParagraph"/>
        <w:numPr>
          <w:ilvl w:val="0"/>
          <w:numId w:val="3"/>
        </w:numPr>
        <w:spacing w:after="60" w:before="60"/>
      </w:pPr>
      <w:r>
        <w:rPr>
          <w:rFonts w:ascii="Arial" w:cs="Arial" w:eastAsia="Arial" w:hAnsi="Arial"/>
          <w:b w:val="false"/>
          <w:bCs w:val="false"/>
          <w:color w:val="1A2332"/>
          <w:sz w:val="22"/>
          <w:szCs w:val="22"/>
        </w:rPr>
        <w:t xml:space="preserve">Legacy Modernisation UK: /legacy-modernisation/</w:t>
      </w:r>
    </w:p>
    <w:p>
      <w:pPr>
        <w:pStyle w:val="ListParagraph"/>
        <w:numPr>
          <w:ilvl w:val="0"/>
          <w:numId w:val="3"/>
        </w:numPr>
        <w:spacing w:after="60" w:before="60"/>
      </w:pPr>
      <w:r>
        <w:rPr>
          <w:rFonts w:ascii="Arial" w:cs="Arial" w:eastAsia="Arial" w:hAnsi="Arial"/>
          <w:b w:val="false"/>
          <w:bCs w:val="false"/>
          <w:color w:val="1A2332"/>
          <w:sz w:val="22"/>
          <w:szCs w:val="22"/>
        </w:rPr>
        <w:t xml:space="preserve">Software Architecture Review UK: /software-architecture-review/</w:t>
      </w:r>
    </w:p>
    <w:p>
      <w:pPr>
        <w:pStyle w:val="ListParagraph"/>
        <w:numPr>
          <w:ilvl w:val="0"/>
          <w:numId w:val="3"/>
        </w:numPr>
        <w:spacing w:after="60" w:before="60"/>
      </w:pPr>
      <w:r>
        <w:rPr>
          <w:rFonts w:ascii="Arial" w:cs="Arial" w:eastAsia="Arial" w:hAnsi="Arial"/>
          <w:b w:val="false"/>
          <w:bCs w:val="false"/>
          <w:color w:val="1A2332"/>
          <w:sz w:val="22"/>
          <w:szCs w:val="22"/>
        </w:rPr>
        <w:t xml:space="preserve">Cloud-Native Development UK: /cloud-native-development/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Architecture Consultation</w:t>
            </w:r>
          </w:p>
          <w:p>
            <w:pPr>
              <w:spacing w:after="160" w:before="0"/>
            </w:pPr>
            <w:r>
              <w:rPr>
                <w:rFonts w:ascii="Arial" w:cs="Arial" w:eastAsia="Arial" w:hAnsi="Arial"/>
                <w:color w:val="BDD0E8"/>
                <w:sz w:val="22"/>
                <w:szCs w:val="22"/>
              </w:rPr>
              <w:t xml:space="preserve">ClickMasters will give you an honest recommendation — monolith or microservices — based on your team size, deployment needs, and business context.</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Systems Architecture Team</w:t>
            </w:r>
          </w:p>
          <w:p>
            <w:pPr>
              <w:spacing w:after="80" w:before="0"/>
            </w:pPr>
            <w:r>
              <w:rPr>
                <w:rFonts w:ascii="Arial" w:cs="Arial" w:eastAsia="Arial" w:hAnsi="Arial"/>
                <w:b/>
                <w:bCs/>
                <w:color w:val="E8612A"/>
                <w:sz w:val="20"/>
                <w:szCs w:val="20"/>
              </w:rPr>
              <w:t xml:space="preserve">Monolith and microservices specialists — modular design first</w:t>
            </w:r>
          </w:p>
          <w:p>
            <w:pPr>
              <w:spacing w:after="0" w:before="0"/>
            </w:pPr>
            <w:r>
              <w:rPr>
                <w:rFonts w:ascii="Arial" w:cs="Arial" w:eastAsia="Arial" w:hAnsi="Arial"/>
                <w:color w:val="1A2332"/>
                <w:sz w:val="20"/>
                <w:szCs w:val="20"/>
              </w:rPr>
              <w:t xml:space="preserve">ClickMasters recommends monolith-first architecture for most UK clients. We migrate to microservices when the team size and deployment requirements genuinely justify the additional operational complexity.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"monolith vs microservices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2026-05-22T10:32:13.431Z</dcterms:created>
  <dcterms:modified xsi:type="dcterms:W3CDTF">2026-05-22T10:32:13.431Z</dcterms:modified>
</cp:coreProperties>
</file>

<file path=docProps/custom.xml><?xml version="1.0" encoding="utf-8"?>
<Properties xmlns="http://schemas.openxmlformats.org/officeDocument/2006/custom-properties" xmlns:vt="http://schemas.openxmlformats.org/officeDocument/2006/docPropsVTypes"/>
</file>