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Microservice Architecture? UK Definition | ClickMasters
META DESC: Microservice Architecture explained. Microservice architecture is a software design approach where an application is built as a collection of small...
SLUG: /glossary/microservice-architecture-definition/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Microservice Architecture?</w:t>
      </w:r>
    </w:p>
    <w:p>
      <w:pPr>
        <w:spacing w:after="60" w:before="60"/>
      </w:pPr>
    </w:p>
    <w:p>
      <w:pPr>
        <w:pStyle w:val="Heading1"/>
        <w:spacing w:after="160" w:before="360"/>
      </w:pPr>
      <w:r>
        <w:rPr>
          <w:rFonts w:ascii="Arial" w:cs="Arial" w:eastAsia="Arial" w:hAnsi="Arial"/>
          <w:b/>
          <w:bCs/>
          <w:color w:val="0B1F3A"/>
          <w:sz w:val="40"/>
          <w:szCs w:val="40"/>
        </w:rPr>
        <w:t xml:space="preserve">What is Microservice Architecture?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Microservice architecture is a software design approach where an application is built as a collection of small, independently deployable services — each responsible for a specific business capability. Each service has its own process, communicates via APIs, and can be deployed, scaled, and updated independently of other services.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Microservice Architecture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Microservice architecture is widely used in UK enterprise software, particularly in FinTech (payment processing, account management, compliance as separate services) and NHS systems (patient records, appointment booking, prescription management as separate services). UK GDPR creates specific microservice compliance complexity: personal data flows through multiple services (each requiring audit logging), right to erasure must cascade across all services, and Article 30 Records of Processing Activities require a separate entry per service. ClickMasters designs microservice architectures with UK GDPR as a first-class concern.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Microservices: </w:t>
      </w:r>
      <w:r>
        <w:rPr>
          <w:rFonts w:ascii="Arial" w:cs="Arial" w:eastAsia="Arial" w:hAnsi="Arial"/>
          <w:b w:val="false"/>
          <w:bCs w:val="false"/>
          <w:i w:val="false"/>
          <w:iCs w:val="false"/>
          <w:color w:val="1A2332"/>
          <w:sz w:val="22"/>
          <w:szCs w:val="22"/>
        </w:rPr>
        <w:t xml:space="preserve">The individual services in a microservice architecture.</w:t>
      </w:r>
    </w:p>
    <w:p>
      <w:pPr>
        <w:spacing w:after="160" w:before="100"/>
      </w:pPr>
      <w:r>
        <w:rPr>
          <w:rFonts w:ascii="Arial" w:cs="Arial" w:eastAsia="Arial" w:hAnsi="Arial"/>
          <w:b/>
          <w:bCs/>
          <w:i w:val="false"/>
          <w:iCs w:val="false"/>
          <w:color w:val="0B1F3A"/>
          <w:sz w:val="22"/>
          <w:szCs w:val="22"/>
        </w:rPr>
        <w:t xml:space="preserve">Service Mesh: </w:t>
      </w:r>
      <w:r>
        <w:rPr>
          <w:rFonts w:ascii="Arial" w:cs="Arial" w:eastAsia="Arial" w:hAnsi="Arial"/>
          <w:b w:val="false"/>
          <w:bCs w:val="false"/>
          <w:i w:val="false"/>
          <w:iCs w:val="false"/>
          <w:color w:val="1A2332"/>
          <w:sz w:val="22"/>
          <w:szCs w:val="22"/>
        </w:rPr>
        <w:t xml:space="preserve">Infrastructure layer handling communication between microservices.</w:t>
      </w:r>
    </w:p>
    <w:p>
      <w:pPr>
        <w:spacing w:after="160" w:before="100"/>
      </w:pPr>
      <w:r>
        <w:rPr>
          <w:rFonts w:ascii="Arial" w:cs="Arial" w:eastAsia="Arial" w:hAnsi="Arial"/>
          <w:b/>
          <w:bCs/>
          <w:i w:val="false"/>
          <w:iCs w:val="false"/>
          <w:color w:val="0B1F3A"/>
          <w:sz w:val="22"/>
          <w:szCs w:val="22"/>
        </w:rPr>
        <w:t xml:space="preserve">Domain-Driven Design: </w:t>
      </w:r>
      <w:r>
        <w:rPr>
          <w:rFonts w:ascii="Arial" w:cs="Arial" w:eastAsia="Arial" w:hAnsi="Arial"/>
          <w:b w:val="false"/>
          <w:bCs w:val="false"/>
          <w:i w:val="false"/>
          <w:iCs w:val="false"/>
          <w:color w:val="1A2332"/>
          <w:sz w:val="22"/>
          <w:szCs w:val="22"/>
        </w:rPr>
        <w:t xml:space="preserve">Methodology for identifying correct microservice boundaries.</w:t>
      </w:r>
    </w:p>
    <w:p>
      <w:pPr>
        <w:spacing w:after="160" w:before="100"/>
      </w:pPr>
      <w:r>
        <w:rPr>
          <w:rFonts w:ascii="Arial" w:cs="Arial" w:eastAsia="Arial" w:hAnsi="Arial"/>
          <w:b/>
          <w:bCs/>
          <w:i w:val="false"/>
          <w:iCs w:val="false"/>
          <w:color w:val="0B1F3A"/>
          <w:sz w:val="22"/>
          <w:szCs w:val="22"/>
        </w:rPr>
        <w:t xml:space="preserve">API Gateway: </w:t>
      </w:r>
      <w:r>
        <w:rPr>
          <w:rFonts w:ascii="Arial" w:cs="Arial" w:eastAsia="Arial" w:hAnsi="Arial"/>
          <w:b w:val="false"/>
          <w:bCs w:val="false"/>
          <w:i w:val="false"/>
          <w:iCs w:val="false"/>
          <w:color w:val="1A2332"/>
          <w:sz w:val="22"/>
          <w:szCs w:val="22"/>
        </w:rPr>
        <w:t xml:space="preserve">Entry point for external requests to a microservice 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b w:val="false"/>
          <w:bCs w:val="false"/>
          <w:color w:val="1A2332"/>
          <w:sz w:val="22"/>
          <w:szCs w:val="22"/>
        </w:rPr>
        <w:t xml:space="preserve">Monolith vs Microservices UK: /monolith-vs-microservices/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Microservice Architecture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microservice architecture"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2026-05-23T06:05:57.748Z</dcterms:created>
  <dcterms:modified xsi:type="dcterms:W3CDTF">2026-05-23T06:05:57.748Z</dcterms:modified>
</cp:coreProperties>
</file>

<file path=docProps/custom.xml><?xml version="1.0" encoding="utf-8"?>
<Properties xmlns="http://schemas.openxmlformats.org/officeDocument/2006/custom-properties" xmlns:vt="http://schemas.openxmlformats.org/officeDocument/2006/docPropsVTypes"/>
</file>