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for InsurTech UK | ClickMasters
META DESC: Custom Software Development for UK InsurTech. FCA. £40,000–£200,000+.
SLUG: /insurtech-custom-software-development/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for UK InsurTech Companies — FCA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UK InsurTech businesses with FCA,  Solvency II UK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Custom Software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Consumer Duty for Insurance: </w:t>
      </w:r>
      <w:r>
        <w:rPr>
          <w:rFonts w:ascii="Arial" w:cs="Arial" w:eastAsia="Arial" w:hAnsi="Arial"/>
          <w:b w:val="false"/>
          <w:bCs w:val="false"/>
          <w:i w:val="false"/>
          <w:iCs w:val="false"/>
          <w:color w:val="1A2332"/>
          <w:sz w:val="22"/>
          <w:szCs w:val="22"/>
        </w:rPr>
        <w:t xml:space="preserve">FCA Consumer Duty (PS22/9, effective July 2023) requires insurers to demonstrate good customer outcomes — four outcome areas: products and services, price and value, consumer understanding, consumer support. InsurTech software must make good customer outcomes measurable: outcome monitoring dashboards, claims settlement time tracking, renewal pricing transparency, and accessible communication of coverage.</w:t>
      </w:r>
    </w:p>
    <w:p>
      <w:pPr>
        <w:spacing w:after="60" w:before="60"/>
      </w:pPr>
    </w:p>
    <w:p>
      <w:pPr>
        <w:spacing w:after="160" w:before="100"/>
      </w:pPr>
      <w:r>
        <w:rPr>
          <w:rFonts w:ascii="Arial" w:cs="Arial" w:eastAsia="Arial" w:hAnsi="Arial"/>
          <w:b/>
          <w:bCs/>
          <w:i w:val="false"/>
          <w:iCs w:val="false"/>
          <w:color w:val="E8612A"/>
          <w:sz w:val="22"/>
          <w:szCs w:val="22"/>
        </w:rPr>
        <w:t xml:space="preserve">Solvency II UK (UK SII) Data Architecture: </w:t>
      </w:r>
      <w:r>
        <w:rPr>
          <w:rFonts w:ascii="Arial" w:cs="Arial" w:eastAsia="Arial" w:hAnsi="Arial"/>
          <w:b w:val="false"/>
          <w:bCs w:val="false"/>
          <w:i w:val="false"/>
          <w:iCs w:val="false"/>
          <w:color w:val="1A2332"/>
          <w:sz w:val="22"/>
          <w:szCs w:val="22"/>
        </w:rPr>
        <w:t xml:space="preserve">Solvency II UK requires accurate, auditable actuarial data for capital requirement calculations. InsurTech software must: maintain clean data lineage (every premium, claim, and reserve figure traceable to its source), support Quantitative Reporting Templates (QRTs), and enable ORSA (Own Risk and Solvency Assessment) data extraction. UK SII reporting to the FCA is annual — data architecture must support regulatory reporting without manual intervention.</w:t>
      </w:r>
    </w:p>
    <w:p>
      <w:pPr>
        <w:spacing w:after="60" w:before="60"/>
      </w:pPr>
    </w:p>
    <w:p>
      <w:pPr>
        <w:spacing w:after="160" w:before="100"/>
      </w:pPr>
      <w:r>
        <w:rPr>
          <w:rFonts w:ascii="Arial" w:cs="Arial" w:eastAsia="Arial" w:hAnsi="Arial"/>
          <w:b/>
          <w:bCs/>
          <w:i w:val="false"/>
          <w:iCs w:val="false"/>
          <w:color w:val="E8612A"/>
          <w:sz w:val="22"/>
          <w:szCs w:val="22"/>
        </w:rPr>
        <w:t xml:space="preserve">Motor Insurance Database (MID) Integration: </w:t>
      </w:r>
      <w:r>
        <w:rPr>
          <w:rFonts w:ascii="Arial" w:cs="Arial" w:eastAsia="Arial" w:hAnsi="Arial"/>
          <w:b w:val="false"/>
          <w:bCs w:val="false"/>
          <w:i w:val="false"/>
          <w:iCs w:val="false"/>
          <w:color w:val="1A2332"/>
          <w:sz w:val="22"/>
          <w:szCs w:val="22"/>
        </w:rPr>
        <w:t xml:space="preserve">UK motor insurers must submit policy data to the MID (managed by MIB — Motor Insurers Bureau) within set timeframes. InsurTech motor insurance software must integrate with the MID API for: policy creation (within 24 hours of inception), endorsements, and cancellations. DVLA integration for vehicle keeper verification.</w:t>
      </w:r>
    </w:p>
    <w:p>
      <w:pPr>
        <w:spacing w:after="60" w:before="60"/>
      </w:pPr>
    </w:p>
    <w:p>
      <w:pPr>
        <w:spacing w:after="160" w:before="100"/>
      </w:pPr>
      <w:r>
        <w:rPr>
          <w:rFonts w:ascii="Arial" w:cs="Arial" w:eastAsia="Arial" w:hAnsi="Arial"/>
          <w:b/>
          <w:bCs/>
          <w:i w:val="false"/>
          <w:iCs w:val="false"/>
          <w:color w:val="E8612A"/>
          <w:sz w:val="22"/>
          <w:szCs w:val="22"/>
        </w:rPr>
        <w:t xml:space="preserve">FNOL and Claims Automation: </w:t>
      </w:r>
      <w:r>
        <w:rPr>
          <w:rFonts w:ascii="Arial" w:cs="Arial" w:eastAsia="Arial" w:hAnsi="Arial"/>
          <w:b w:val="false"/>
          <w:bCs w:val="false"/>
          <w:i w:val="false"/>
          <w:iCs w:val="false"/>
          <w:color w:val="1A2332"/>
          <w:sz w:val="22"/>
          <w:szCs w:val="22"/>
        </w:rPr>
        <w:t xml:space="preserve">First Notice of Loss (FNOL) automation is a primary InsurTech value driver. Architecture: telephony integration (Twilio) or web FNOL form, automatic policy verification via internal API, third-party data enrichment (DVLA, weather data, traffic incident data), automated triage to STP or manual review, and FCA Consumer Duty outcome tracking per claim.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Solvency II UK, Consumer Duty, GDPR, AML (MLRs 2017)</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regulations apply to UK InsurTech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(PS22/9): measurable good customer outcomes, four outcome areas. ICOBS (Insurance Conduct of Business Sourcebook): pre-contract information, cancellation rights, claims handling. Solvency II UK: capital adequacy data requirements. Price Optimisation: FCA has banned differential pricing for renewing vs new customers in retail insurance — software must implement fair renewal pricing.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AML apply to InsurTech?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Insurance companies are subject to AML obligations under the MLRs 2017 for certain insurance products (life insurance with investment elements, insurance with surrender value). InsurTech software must support: CDD for policyholders in scope, EDD for high-risk policies, MLRO escalation, and 5-year AML record retention.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InsurTech Custom Software Development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software specialists</w:t>
            </w:r>
          </w:p>
          <w:p>
            <w:pPr>
              <w:spacing w:after="0" w:before="0"/>
            </w:pPr>
            <w:r>
              <w:rPr>
                <w:rFonts w:ascii="Arial" w:cs="Arial" w:eastAsia="Arial" w:hAnsi="Arial"/>
                <w:color w:val="1A2332"/>
                <w:sz w:val="20"/>
                <w:szCs w:val="20"/>
              </w:rPr>
              <w:t xml:space="preserve">Delivering Custom Software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software development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2026-05-24T06:41:44.939Z</dcterms:created>
  <dcterms:modified xsi:type="dcterms:W3CDTF">2026-05-24T06:41:44.939Z</dcterms:modified>
</cp:coreProperties>
</file>

<file path=docProps/custom.xml><?xml version="1.0" encoding="utf-8"?>
<Properties xmlns="http://schemas.openxmlformats.org/officeDocument/2006/custom-properties" xmlns:vt="http://schemas.openxmlformats.org/officeDocument/2006/docPropsVTypes"/>
</file>