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Open Banking Development Guide UK (2025) | ClickMasters
META DESC: Open Banking API integration guide for UK developers. PSD2, OBIE, TrueLayer, account aggregation, payment initiation. ClickMasters builds Open Banking integrations.
SLUG: /open-banking-development-guide/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11 min  |  Written by: ClickMasters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Open Banking Development Guide UK</w:t>
      </w:r>
    </w:p>
    <w:p>
      <w:pPr>
        <w:spacing w:after="60" w:before="60"/>
      </w:pPr>
    </w:p>
    <w:p>
      <w:pPr>
        <w:pStyle w:val="Heading1"/>
        <w:spacing w:after="160" w:before="360"/>
      </w:pPr>
      <w:r>
        <w:rPr>
          <w:rFonts w:ascii="Arial" w:cs="Arial" w:eastAsia="Arial" w:hAnsi="Arial"/>
          <w:b/>
          <w:bCs/>
          <w:color w:val="0B1F3A"/>
          <w:sz w:val="40"/>
          <w:szCs w:val="40"/>
        </w:rPr>
        <w:t xml:space="preserve">Open Banking Development Guide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OBIE Standard</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PSD2/PSD3</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FCA</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Consultation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Open Banking UK is mandated by the FCA under PSD2 and administered by OBIE (Open Banking Implementation Entity). UK banks must provide APIs for Account Information (AISP) and Payment Initiation (PISP) services. Building directly on bank APIs is complex — ClickMasters uses TrueLayer as an aggregated API layer covering all major UK banks.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Note: UK Open Banking is evolving — PSD3 and the new Financial Data and Access (FIDA) framework are in development as of 2025. This guide covers the current OBIE-standard Open Banking as implemented today.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Open Banking Use Cases —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Use Case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AISP or PISP</w:t>
            </w:r>
          </w:p>
        </w:tc>
        <w:tc>
          <w:tcPr>
            <w:tcW w:type="dxa" w:w="4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Real UK Implementation Examples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Account aggregation</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AISP</w:t>
            </w:r>
          </w:p>
        </w:tc>
        <w:tc>
          <w:tcPr>
            <w:tcW w:type="dxa" w:w="4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finance apps (Emma, Snoop), SME cash flow dashboards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Income/expenditure verification</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AISP</w:t>
            </w:r>
          </w:p>
        </w:tc>
        <w:tc>
          <w:tcPr>
            <w:tcW w:type="dxa" w:w="4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Mortgage lending (replacing payslip PDFs), SME credit assessment</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Bank verification (KYC)</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AISP</w:t>
            </w:r>
          </w:p>
        </w:tc>
        <w:tc>
          <w:tcPr>
            <w:tcW w:type="dxa" w:w="4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Account ownership check for lending, payments, and KYC</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Variable Recurring Payments (VRP)</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PISP</w:t>
            </w:r>
          </w:p>
        </w:tc>
        <w:tc>
          <w:tcPr>
            <w:tcW w:type="dxa" w:w="4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Sweeping (savings automation), utility bill payments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Single payment initiation</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PISP</w:t>
            </w:r>
          </w:p>
        </w:tc>
        <w:tc>
          <w:tcPr>
            <w:tcW w:type="dxa" w:w="4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Account-to-account payments (cheaper than card)</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Payroll verification</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AISP</w:t>
            </w:r>
          </w:p>
        </w:tc>
        <w:tc>
          <w:tcPr>
            <w:tcW w:type="dxa" w:w="4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Employment income verification for regulated services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Open Finance (FIDA, future)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AISP (extended)</w:t>
            </w:r>
          </w:p>
        </w:tc>
        <w:tc>
          <w:tcPr>
            <w:tcW w:type="dxa" w:w="4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Pension, insurance, investment data aggregation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AISP vs PISP — Key Difference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0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Does</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FCA Registration</w:t>
            </w:r>
          </w:p>
        </w:tc>
        <w:tc>
          <w:tcPr>
            <w:tcW w:type="dxa" w:w="2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Data Accessed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AISP (Account Information)</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Read-only access to account data</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AISP authorisation</w:t>
            </w:r>
          </w:p>
        </w:tc>
        <w:tc>
          <w:tcPr>
            <w:tcW w:type="dxa" w:w="2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Balances, transactions, account details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PISP (Payment Initiation)</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Initiate payments from user's bank account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PISP authorisation</w:t>
            </w:r>
          </w:p>
        </w:tc>
        <w:tc>
          <w:tcPr>
            <w:tcW w:type="dxa" w:w="2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data read — triggers payment instruction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Open Banking Architecture — TrueLayer</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ClickMasters uses TrueLayer as the Open Banking aggregation layer. Building directly on each bank's OBIE-compliant API requires: separate authentication flows per bank (20+ UK banks), handling each bank's API quirks and downtime, maintaining separate connection credentials, and tracking OBIE API standard versions per bank. TrueLayer normalises all of this into a single API.</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Single OAuth 2.0 flow: user selects bank, authorises in bank's app, returns to your application with access token.</w:t>
      </w:r>
    </w:p>
    <w:p>
      <w:pPr>
        <w:pStyle w:val="ListParagraph"/>
        <w:numPr>
          <w:ilvl w:val="0"/>
          <w:numId w:val="2"/>
        </w:numPr>
        <w:spacing w:after="60" w:before="60"/>
      </w:pPr>
      <w:r>
        <w:rPr>
          <w:rFonts w:ascii="Arial" w:cs="Arial" w:eastAsia="Arial" w:hAnsi="Arial"/>
          <w:color w:val="1A2332"/>
          <w:sz w:val="22"/>
          <w:szCs w:val="22"/>
        </w:rPr>
        <w:t xml:space="preserve">90-day consent re-authorisation: PSD2 requirement — TrueLayer handles the re-authorisation reminder flow.</w:t>
      </w:r>
    </w:p>
    <w:p>
      <w:pPr>
        <w:pStyle w:val="ListParagraph"/>
        <w:numPr>
          <w:ilvl w:val="0"/>
          <w:numId w:val="2"/>
        </w:numPr>
        <w:spacing w:after="60" w:before="60"/>
      </w:pPr>
      <w:r>
        <w:rPr>
          <w:rFonts w:ascii="Arial" w:cs="Arial" w:eastAsia="Arial" w:hAnsi="Arial"/>
          <w:color w:val="1A2332"/>
          <w:sz w:val="22"/>
          <w:szCs w:val="22"/>
        </w:rPr>
        <w:t xml:space="preserve">Granular consent: user can consent per account (not all accounts at a bank).</w:t>
      </w:r>
    </w:p>
    <w:p>
      <w:pPr>
        <w:pStyle w:val="ListParagraph"/>
        <w:numPr>
          <w:ilvl w:val="0"/>
          <w:numId w:val="2"/>
        </w:numPr>
        <w:spacing w:after="60" w:before="60"/>
      </w:pPr>
      <w:r>
        <w:rPr>
          <w:rFonts w:ascii="Arial" w:cs="Arial" w:eastAsia="Arial" w:hAnsi="Arial"/>
          <w:color w:val="1A2332"/>
          <w:sz w:val="22"/>
          <w:szCs w:val="22"/>
        </w:rPr>
        <w:t xml:space="preserve">Instant revocation: user can revoke consent per bank at any time via TrueLayer consent dashboard.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GDPR for Open Banking Data</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Open Banking account data is personal data — financial data is sensitive personal data. Key UK GDPR considerations: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Lawful basis: contract performance (AISP data used to provide agreed service), or explicit consent.</w:t>
      </w:r>
    </w:p>
    <w:p>
      <w:pPr>
        <w:pStyle w:val="ListParagraph"/>
        <w:numPr>
          <w:ilvl w:val="0"/>
          <w:numId w:val="2"/>
        </w:numPr>
        <w:spacing w:after="60" w:before="60"/>
      </w:pPr>
      <w:r>
        <w:rPr>
          <w:rFonts w:ascii="Arial" w:cs="Arial" w:eastAsia="Arial" w:hAnsi="Arial"/>
          <w:color w:val="1A2332"/>
          <w:sz w:val="22"/>
          <w:szCs w:val="22"/>
        </w:rPr>
        <w:t xml:space="preserve">Data minimisation: only request access to accounts genuinely needed for the service.</w:t>
      </w:r>
    </w:p>
    <w:p>
      <w:pPr>
        <w:pStyle w:val="ListParagraph"/>
        <w:numPr>
          <w:ilvl w:val="0"/>
          <w:numId w:val="2"/>
        </w:numPr>
        <w:spacing w:after="60" w:before="60"/>
      </w:pPr>
      <w:r>
        <w:rPr>
          <w:rFonts w:ascii="Arial" w:cs="Arial" w:eastAsia="Arial" w:hAnsi="Arial"/>
          <w:color w:val="1A2332"/>
          <w:sz w:val="22"/>
          <w:szCs w:val="22"/>
        </w:rPr>
        <w:t xml:space="preserve">Retention: Open Banking transaction data should be retained only as long as necessary — typically 12 months for affordability assessment, shorter for payment verification.</w:t>
      </w:r>
    </w:p>
    <w:p>
      <w:pPr>
        <w:pStyle w:val="ListParagraph"/>
        <w:numPr>
          <w:ilvl w:val="0"/>
          <w:numId w:val="2"/>
        </w:numPr>
        <w:spacing w:after="60" w:before="60"/>
      </w:pPr>
      <w:r>
        <w:rPr>
          <w:rFonts w:ascii="Arial" w:cs="Arial" w:eastAsia="Arial" w:hAnsi="Arial"/>
          <w:color w:val="1A2332"/>
          <w:sz w:val="22"/>
          <w:szCs w:val="22"/>
        </w:rPr>
        <w:t xml:space="preserve">Right to erasure: consent revocation should trigger deletion of Open Banking data — TrueLayer webhooks for consent revocation events.</w:t>
      </w:r>
    </w:p>
    <w:p>
      <w:pPr>
        <w:pStyle w:val="ListParagraph"/>
        <w:numPr>
          <w:ilvl w:val="0"/>
          <w:numId w:val="2"/>
        </w:numPr>
        <w:spacing w:after="60" w:before="60"/>
      </w:pPr>
      <w:r>
        <w:rPr>
          <w:rFonts w:ascii="Arial" w:cs="Arial" w:eastAsia="Arial" w:hAnsi="Arial"/>
          <w:color w:val="1A2332"/>
          <w:sz w:val="22"/>
          <w:szCs w:val="22"/>
        </w:rPr>
        <w:t xml:space="preserve">Privacy Notice: must specifically describe Open Banking data processing, which banks are connected, and how transaction data is used.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FCA Consumer Duty and Open Banking</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FCA Consumer Duty applies to AISP and PISP services. Consumer Understanding: consent journey must clearly explain what data is accessed, for what purpose, and for how long — no dark patterns in the authorisation flow. Consumer Support: users must be able to revoke consent easily from within the application (not just via their bank app). Consumer Duty four outcomes must be monitored and evidenced.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I need FCA authorisation to use Open Banking?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If you use TrueLayer (or another authorised AISP/PISP provider), you do not need your own FCA AISP/PISP authorisation — you operate under TrueLayer's FCA authorisation as an agent. If you want to hold Open Banking authorisation directly (e.g., to access raw OBIE APIs), you need FCA AISP registration (for account information) or PISP authorisation (for payment initiation).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UK banks are covered by Open Banking?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CMA9 (nine largest UK banks by market share) are mandated to provide OBIE-compliant Open Banking APIs: Barclays, HSBC, Lloyds, Nationwide, NatWest, Royal Bank of Scotland, Santander, Standard Chartered, and Bank of Ireland UK. TrueLayer covers 50+ UK banks including challenger banks (Monzo, Starling, Revolut).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3"/>
        </w:numPr>
        <w:spacing w:after="60" w:before="60"/>
      </w:pPr>
      <w:r>
        <w:rPr>
          <w:rFonts w:ascii="Arial" w:cs="Arial" w:eastAsia="Arial" w:hAnsi="Arial"/>
          <w:color w:val="1A4A8A"/>
          <w:sz w:val="22"/>
          <w:szCs w:val="22"/>
        </w:rPr>
        <w:t xml:space="preserve">UK GDPR Compliance Checklist: /uk-gdpr-software-compliance-checklist/</w:t>
      </w:r>
    </w:p>
    <w:p>
      <w:pPr>
        <w:pStyle w:val="ListParagraph"/>
        <w:numPr>
          <w:ilvl w:val="0"/>
          <w:numId w:val="3"/>
        </w:numPr>
        <w:spacing w:after="60" w:before="60"/>
      </w:pPr>
      <w:r>
        <w:rPr>
          <w:rFonts w:ascii="Arial" w:cs="Arial" w:eastAsia="Arial" w:hAnsi="Arial"/>
          <w:color w:val="1A4A8A"/>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Open Banking Architecture Consultation</w:t>
            </w:r>
          </w:p>
          <w:p>
            <w:pPr>
              <w:spacing w:after="160" w:before="0"/>
            </w:pPr>
            <w:r>
              <w:rPr>
                <w:rFonts w:ascii="Arial" w:cs="Arial" w:eastAsia="Arial" w:hAnsi="Arial"/>
                <w:color w:val="BDD0E8"/>
                <w:sz w:val="22"/>
                <w:szCs w:val="22"/>
              </w:rPr>
              <w:t xml:space="preserve">ClickMasters will design your Open Banking integration architecture. Free 45-minute call.</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FinTech Team</w:t>
            </w:r>
          </w:p>
          <w:p>
            <w:pPr>
              <w:spacing w:after="80" w:before="0"/>
            </w:pPr>
            <w:r>
              <w:rPr>
                <w:rFonts w:ascii="Arial" w:cs="Arial" w:eastAsia="Arial" w:hAnsi="Arial"/>
                <w:b/>
                <w:bCs/>
                <w:color w:val="E8612A"/>
                <w:sz w:val="20"/>
                <w:szCs w:val="20"/>
              </w:rPr>
              <w:t xml:space="preserve">Open Banking and PSD2 specialists</w:t>
            </w:r>
          </w:p>
          <w:p>
            <w:pPr>
              <w:spacing w:after="0" w:before="0"/>
            </w:pPr>
            <w:r>
              <w:rPr>
                <w:rFonts w:ascii="Arial" w:cs="Arial" w:eastAsia="Arial" w:hAnsi="Arial"/>
                <w:color w:val="1A2332"/>
                <w:sz w:val="20"/>
                <w:szCs w:val="20"/>
              </w:rPr>
              <w:t xml:space="preserve">ClickMasters has built Open Banking integrations for UK FinTech, lending, and personal finance applications.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"open banking development guide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2026-05-26T08:23:48.917Z</dcterms:created>
  <dcterms:modified xsi:type="dcterms:W3CDTF">2026-05-26T08:23:48.917Z</dcterms:modified>
</cp:coreProperties>
</file>

<file path=docProps/custom.xml><?xml version="1.0" encoding="utf-8"?>
<Properties xmlns="http://schemas.openxmlformats.org/officeDocument/2006/custom-properties" xmlns:vt="http://schemas.openxmlformats.org/officeDocument/2006/docPropsVTypes"/>
</file>