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Legacy Modernisation for GovTech UK | ClickMasters
META DESC: Legacy Modernisation for UK GovTech. GDS Service Standard. £25,000–£150,000.
SLUG: /govtech-legacy-modernisation/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GovTech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GovTech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Legacy Modernisation for GovTech</w:t>
      </w:r>
    </w:p>
    <w:p>
      <w:pPr>
        <w:spacing w:after="60" w:before="60"/>
      </w:pPr>
    </w:p>
    <w:p>
      <w:pPr>
        <w:pStyle w:val="Heading1"/>
        <w:spacing w:after="160" w:before="360"/>
      </w:pPr>
      <w:r>
        <w:rPr>
          <w:rFonts w:ascii="Arial" w:cs="Arial" w:eastAsia="Arial" w:hAnsi="Arial"/>
          <w:b/>
          <w:bCs/>
          <w:color w:val="0B1F3A"/>
          <w:sz w:val="40"/>
          <w:szCs w:val="40"/>
        </w:rPr>
        <w:t xml:space="preserve">Legacy Modernisation for UK GovTech — GDS Service Standard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GovTech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GDS Service Standard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£25,000–£150,000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Legacy Modernisation for UK GovTech businesses with GDS Service Standard,  WCAG 2.1 AA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Legacy Modernisation for GovTech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GDS Assessment During Legacy Modernisation: </w:t>
      </w:r>
      <w:r>
        <w:rPr>
          <w:rFonts w:ascii="Arial" w:cs="Arial" w:eastAsia="Arial" w:hAnsi="Arial"/>
          <w:b w:val="false"/>
          <w:bCs w:val="false"/>
          <w:i w:val="false"/>
          <w:iCs w:val="false"/>
          <w:color w:val="1A2332"/>
          <w:sz w:val="22"/>
          <w:szCs w:val="22"/>
        </w:rPr>
        <w:t xml:space="preserve">UK government legacy modernisation projects must maintain GDS Service Standard compliance throughout the transition. Challenge: GDS assesses user-facing services — during a strangler fig migration, users may interact with both old and new interfaces simultaneously. Pattern: ensure the new service is GDS-assessed before it receives real traffic; decommission legacy only after new service passes assessment.</w:t>
      </w:r>
    </w:p>
    <w:p>
      <w:pPr>
        <w:spacing w:after="60" w:before="60"/>
      </w:pPr>
    </w:p>
    <w:p>
      <w:pPr>
        <w:spacing w:after="160" w:before="100"/>
      </w:pPr>
      <w:r>
        <w:rPr>
          <w:rFonts w:ascii="Arial" w:cs="Arial" w:eastAsia="Arial" w:hAnsi="Arial"/>
          <w:b/>
          <w:bCs/>
          <w:i w:val="false"/>
          <w:iCs w:val="false"/>
          <w:color w:val="E8612A"/>
          <w:sz w:val="22"/>
          <w:szCs w:val="22"/>
        </w:rPr>
        <w:t xml:space="preserve">Business Continuity During Government System Replacement: </w:t>
      </w:r>
      <w:r>
        <w:rPr>
          <w:rFonts w:ascii="Arial" w:cs="Arial" w:eastAsia="Arial" w:hAnsi="Arial"/>
          <w:b w:val="false"/>
          <w:bCs w:val="false"/>
          <w:i w:val="false"/>
          <w:iCs w:val="false"/>
          <w:color w:val="1A2332"/>
          <w:sz w:val="22"/>
          <w:szCs w:val="22"/>
        </w:rPr>
        <w:t xml:space="preserve">Government systems typically cannot have planned downtime during business hours. Legacy modernisation approach: shadow mode (new system processes real transactions but outputs are validated against legacy without replacing it), canary release (1% of users redirected to new system, monitoring for errors), progressive rollout (by user group or region), and instant rollback capability maintained throughout.</w:t>
      </w:r>
    </w:p>
    <w:p>
      <w:pPr>
        <w:spacing w:after="60" w:before="60"/>
      </w:pPr>
    </w:p>
    <w:p>
      <w:pPr>
        <w:spacing w:after="160" w:before="100"/>
      </w:pPr>
      <w:r>
        <w:rPr>
          <w:rFonts w:ascii="Arial" w:cs="Arial" w:eastAsia="Arial" w:hAnsi="Arial"/>
          <w:b/>
          <w:bCs/>
          <w:i w:val="false"/>
          <w:iCs w:val="false"/>
          <w:color w:val="E8612A"/>
          <w:sz w:val="22"/>
          <w:szCs w:val="22"/>
        </w:rPr>
        <w:t xml:space="preserve">Migrating Legacy Government Data with UK GDPR Compliance: </w:t>
      </w:r>
      <w:r>
        <w:rPr>
          <w:rFonts w:ascii="Arial" w:cs="Arial" w:eastAsia="Arial" w:hAnsi="Arial"/>
          <w:b w:val="false"/>
          <w:bCs w:val="false"/>
          <w:i w:val="false"/>
          <w:iCs w:val="false"/>
          <w:color w:val="1A2332"/>
          <w:sz w:val="22"/>
          <w:szCs w:val="22"/>
        </w:rPr>
        <w:t xml:space="preserve">Government legacy databases often contain decades of citizen personal data with poor documentation. UK GDPR-compliant migration approach: data mapping exercise (what personal data exists, where, what basis was it collected), DPIA for migration process (temporary processing in migration environment), data minimisation (do not migrate data beyond statutory retention periods), and post-migration verification (all data correctly migrated, legacy data securely deleted).</w:t>
      </w:r>
    </w:p>
    <w:p>
      <w:pPr>
        <w:spacing w:after="60" w:before="60"/>
      </w:pPr>
    </w:p>
    <w:p>
      <w:pPr>
        <w:spacing w:after="160" w:before="100"/>
      </w:pPr>
      <w:r>
        <w:rPr>
          <w:rFonts w:ascii="Arial" w:cs="Arial" w:eastAsia="Arial" w:hAnsi="Arial"/>
          <w:b/>
          <w:bCs/>
          <w:i w:val="false"/>
          <w:iCs w:val="false"/>
          <w:color w:val="E8612A"/>
          <w:sz w:val="22"/>
          <w:szCs w:val="22"/>
        </w:rPr>
        <w:t xml:space="preserve">WCAG 2.1 AA for Legacy System Replacement: </w:t>
      </w:r>
      <w:r>
        <w:rPr>
          <w:rFonts w:ascii="Arial" w:cs="Arial" w:eastAsia="Arial" w:hAnsi="Arial"/>
          <w:b w:val="false"/>
          <w:bCs w:val="false"/>
          <w:i w:val="false"/>
          <w:iCs w:val="false"/>
          <w:color w:val="1A2332"/>
          <w:sz w:val="22"/>
          <w:szCs w:val="22"/>
        </w:rPr>
        <w:t xml:space="preserve">PSBAR 2018 requires WCAG 2.1 AA for all public sector websites — legacy systems exempt from PSBAR while they pre-date it may need remediation when rebuilt. Approach: GDS Service Standard assessment requires user research and accessibility testing, so legacy replacement is the natural point to build WCAG 2.1 AA compliance. ClickMasters uses GOV.UK Design System components as the WCAG-compliant baseline for all GovTech projects.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GDS Service Standard, WCAG 2.1 AA, UK GDPR, G-Cloud, Cyber Essentials, business continuity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GovTech Legacy Modernisation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£25,000–£150,000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legacy government systems be replaced without service interruption?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using the Strangler Fig pattern, a new service is built alongside the legacy, gradually taking over functionality. Users experience no disruption. ClickMasters has delivered GovTech strangler figs with zero downtime and zero service interruption for council benefits systems and local authority licensing systems.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legacy government system replacements need GDS assessment?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if the replacement is a public-facing digital service. New public sector services (and significantly updated legacy services) must go through GDS Beta and Live assessment. ClickMasters prepares GDS assessment evidence as a deliverable on all GovTech projects.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GovTech Software Development UK: /govtech-software-development/</w:t>
      </w:r>
    </w:p>
    <w:p>
      <w:pPr>
        <w:pStyle w:val="ListParagraph"/>
        <w:numPr>
          <w:ilvl w:val="0"/>
          <w:numId w:val="2"/>
        </w:numPr>
        <w:spacing w:after="60" w:before="60"/>
      </w:pPr>
      <w:r>
        <w:rPr>
          <w:rFonts w:ascii="Arial" w:cs="Arial" w:eastAsia="Arial" w:hAnsi="Arial"/>
          <w:color w:val="1A4A8A"/>
          <w:sz w:val="22"/>
          <w:szCs w:val="22"/>
        </w:rPr>
        <w:t xml:space="preserve">Legacy Modernisation UK: /legacy-modernisation/</w:t>
      </w:r>
    </w:p>
    <w:p>
      <w:pPr>
        <w:pStyle w:val="ListParagraph"/>
        <w:numPr>
          <w:ilvl w:val="0"/>
          <w:numId w:val="2"/>
        </w:numPr>
        <w:spacing w:after="60" w:before="60"/>
      </w:pPr>
      <w:r>
        <w:rPr>
          <w:rFonts w:ascii="Arial" w:cs="Arial" w:eastAsia="Arial" w:hAnsi="Arial"/>
          <w:color w:val="1A4A8A"/>
          <w:sz w:val="22"/>
          <w:szCs w:val="22"/>
        </w:rPr>
        <w:t xml:space="preserve">GDS Service Standard UK: /gds-service-standard-guide/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GovTech Legacy Modernisation — Free Consultation</w:t>
            </w:r>
          </w:p>
          <w:p>
            <w:pPr>
              <w:spacing w:after="160" w:before="0"/>
            </w:pPr>
            <w:r>
              <w:rPr>
                <w:rFonts w:ascii="Arial" w:cs="Arial" w:eastAsia="Arial" w:hAnsi="Arial"/>
                <w:color w:val="BDD0E8"/>
                <w:sz w:val="22"/>
                <w:szCs w:val="22"/>
              </w:rPr>
              <w:t xml:space="preserve">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GovTech Team</w:t>
            </w:r>
          </w:p>
          <w:p>
            <w:pPr>
              <w:spacing w:after="80" w:before="0"/>
            </w:pPr>
            <w:r>
              <w:rPr>
                <w:rFonts w:ascii="Arial" w:cs="Arial" w:eastAsia="Arial" w:hAnsi="Arial"/>
                <w:b/>
                <w:bCs/>
                <w:color w:val="E8612A"/>
                <w:sz w:val="20"/>
                <w:szCs w:val="20"/>
              </w:rPr>
              <w:t xml:space="preserve">GovTech specialists</w:t>
            </w:r>
          </w:p>
          <w:p>
            <w:pPr>
              <w:spacing w:after="0" w:before="0"/>
            </w:pPr>
            <w:r>
              <w:rPr>
                <w:rFonts w:ascii="Arial" w:cs="Arial" w:eastAsia="Arial" w:hAnsi="Arial"/>
                <w:color w:val="1A2332"/>
                <w:sz w:val="20"/>
                <w:szCs w:val="20"/>
              </w:rPr>
              <w:t xml:space="preserve">Delivering Legacy Modernisation for UK GovTech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"govtech legacy modernisation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2026-05-26T14:21:18.842Z</dcterms:created>
  <dcterms:modified xsi:type="dcterms:W3CDTF">2026-05-26T14:21:18.842Z</dcterms:modified>
</cp:coreProperties>
</file>

<file path=docProps/custom.xml><?xml version="1.0" encoding="utf-8"?>
<Properties xmlns="http://schemas.openxmlformats.org/officeDocument/2006/custom-properties" xmlns:vt="http://schemas.openxmlformats.org/officeDocument/2006/docPropsVTypes"/>
</file>