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MVP Development UK — Launch in 8–12 Weeks | ClickMasters
META DESC: Build your MVP in 8–12 weeks from £12,000. Lean or investor-ready. Innovate UK grants available. UK GDPR compliant. R&amp;D Tax Credits eligible. Free consultation.
SLUG: /mvp-development/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2025  |  Reading time: 12 min  |  Written by: ClickMasters Product Team  |  Reviewed by: James Whitmore, CTO</w:t>
            </w:r>
          </w:p>
        </w:tc>
      </w:tr>
    </w:tbl>
    <w:p>
      <w:pPr>
        <w:spacing w:after="60" w:before="60"/>
      </w:pPr>
    </w:p>
    <w:p>
      <w:pPr>
        <w:spacing w:after="160" w:before="100"/>
        <w:jc w:val="left"/>
      </w:pPr>
      <w:r>
        <w:rPr>
          <w:rFonts w:ascii="Arial" w:cs="Arial" w:eastAsia="Arial" w:hAnsi="Arial"/>
          <w:b w:val="false"/>
          <w:bCs w:val="false"/>
          <w:i w:val="false"/>
          <w:iCs w:val="false"/>
          <w:color w:val="1A4A8A"/>
          <w:sz w:val="22"/>
          <w:szCs w:val="22"/>
        </w:rPr>
        <w:t xml:space="preserve">Home</w:t>
      </w:r>
      <w:r>
        <w:rPr>
          <w:rFonts w:ascii="Arial" w:cs="Arial" w:eastAsia="Arial" w:hAnsi="Arial"/>
          <w:b w:val="false"/>
          <w:bCs w:val="false"/>
          <w:i w:val="false"/>
          <w:iCs w:val="false"/>
          <w:color w:val="5A6E82"/>
          <w:sz w:val="22"/>
          <w:szCs w:val="22"/>
        </w:rPr>
        <w:t xml:space="preserve"> › </w:t>
      </w:r>
      <w:r>
        <w:rPr>
          <w:rFonts w:ascii="Arial" w:cs="Arial" w:eastAsia="Arial" w:hAnsi="Arial"/>
          <w:b w:val="false"/>
          <w:bCs w:val="false"/>
          <w:i w:val="false"/>
          <w:iCs w:val="false"/>
          <w:color w:val="1A4A8A"/>
          <w:sz w:val="22"/>
          <w:szCs w:val="22"/>
        </w:rPr>
        <w:t xml:space="preserve">Services</w:t>
      </w:r>
      <w:r>
        <w:rPr>
          <w:rFonts w:ascii="Arial" w:cs="Arial" w:eastAsia="Arial" w:hAnsi="Arial"/>
          <w:b w:val="false"/>
          <w:bCs w:val="false"/>
          <w:i w:val="false"/>
          <w:iCs w:val="false"/>
          <w:color w:val="5A6E82"/>
          <w:sz w:val="22"/>
          <w:szCs w:val="22"/>
        </w:rPr>
        <w:t xml:space="preserve"> › </w:t>
      </w:r>
      <w:r>
        <w:rPr>
          <w:rFonts w:ascii="Arial" w:cs="Arial" w:eastAsia="Arial" w:hAnsi="Arial"/>
          <w:b/>
          <w:bCs/>
          <w:i w:val="false"/>
          <w:iCs w:val="false"/>
          <w:color w:val="1A2332"/>
          <w:sz w:val="22"/>
          <w:szCs w:val="22"/>
        </w:rPr>
        <w:t xml:space="preserve">MVP Development UK</w:t>
      </w:r>
    </w:p>
    <w:p>
      <w:pPr>
        <w:spacing w:after="60" w:before="60"/>
      </w:pPr>
    </w:p>
    <w:p>
      <w:pPr>
        <w:pStyle w:val="Heading1"/>
        <w:spacing w:after="160" w:before="240"/>
      </w:pPr>
      <w:r>
        <w:rPr>
          <w:rFonts w:ascii="Arial" w:cs="Arial" w:eastAsia="Arial" w:hAnsi="Arial"/>
          <w:b/>
          <w:bCs/>
          <w:color w:val="0B1F3A"/>
          <w:sz w:val="44"/>
          <w:szCs w:val="44"/>
        </w:rPr>
        <w:t xml:space="preserve">MVP Development UK — Launch Your Minimum Viable Product in 8–12 Weeks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120"/>
              <w:bottom w:type="dxa" w:w="80"/>
              <w:right w:type="dxa" w:w="120"/>
            </w:tcMar>
          </w:tcPr>
          <w:p>
            <w:pPr>
              <w:spacing w:after="0" w:before="0"/>
              <w:jc w:val="center"/>
            </w:pPr>
            <w:r>
              <w:rPr>
                <w:rFonts w:ascii="Arial" w:cs="Arial" w:eastAsia="Arial" w:hAnsi="Arial"/>
                <w:b/>
                <w:bCs/>
                <w:color w:val="0B1F3A"/>
                <w:sz w:val="18"/>
                <w:szCs w:val="18"/>
              </w:rPr>
              <w:t xml:space="preserve">🇬🇧 UK-Based Team</w:t>
            </w:r>
          </w:p>
        </w:tc>
        <w:tc>
          <w:tcPr>
            <w:tcW w:type="dxa" w:w="1504"/>
            <w:tcBorders>
              <w:top w:val="single" w:color="D6E4F5" w:sz="1"/>
              <w:left w:val="single" w:color="D6E4F5" w:sz="1"/>
              <w:bottom w:val="single" w:color="D6E4F5" w:sz="1"/>
              <w:right w:val="single" w:color="D6E4F5" w:sz="1"/>
            </w:tcBorders>
            <w:shd w:fill="EBF2FA" w:val="clear"/>
            <w:tcMar>
              <w:top w:type="dxa" w:w="80"/>
              <w:left w:type="dxa" w:w="120"/>
              <w:bottom w:type="dxa" w:w="80"/>
              <w:right w:type="dxa" w:w="120"/>
            </w:tcMar>
          </w:tcPr>
          <w:p>
            <w:pPr>
              <w:spacing w:after="0" w:before="0"/>
              <w:jc w:val="center"/>
            </w:pPr>
            <w:r>
              <w:rPr>
                <w:rFonts w:ascii="Arial" w:cs="Arial" w:eastAsia="Arial" w:hAnsi="Arial"/>
                <w:b/>
                <w:bCs/>
                <w:color w:val="0B1F3A"/>
                <w:sz w:val="18"/>
                <w:szCs w:val="18"/>
              </w:rPr>
              <w:t xml:space="preserve">🚀 8–12 Week Delivery</w:t>
            </w:r>
          </w:p>
        </w:tc>
        <w:tc>
          <w:tcPr>
            <w:tcW w:type="dxa" w:w="1504"/>
            <w:tcBorders>
              <w:top w:val="single" w:color="D6E4F5" w:sz="1"/>
              <w:left w:val="single" w:color="D6E4F5" w:sz="1"/>
              <w:bottom w:val="single" w:color="D6E4F5" w:sz="1"/>
              <w:right w:val="single" w:color="D6E4F5" w:sz="1"/>
            </w:tcBorders>
            <w:shd w:fill="EBF2FA" w:val="clear"/>
            <w:tcMar>
              <w:top w:type="dxa" w:w="80"/>
              <w:left w:type="dxa" w:w="120"/>
              <w:bottom w:type="dxa" w:w="80"/>
              <w:right w:type="dxa" w:w="120"/>
            </w:tcMar>
          </w:tcPr>
          <w:p>
            <w:pPr>
              <w:spacing w:after="0" w:before="0"/>
              <w:jc w:val="center"/>
            </w:pPr>
            <w:r>
              <w:rPr>
                <w:rFonts w:ascii="Arial" w:cs="Arial" w:eastAsia="Arial" w:hAnsi="Arial"/>
                <w:b/>
                <w:bCs/>
                <w:color w:val="0B1F3A"/>
                <w:sz w:val="18"/>
                <w:szCs w:val="18"/>
              </w:rPr>
              <w:t xml:space="preserve">💷 From £12,000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120"/>
              <w:bottom w:type="dxa" w:w="80"/>
              <w:right w:type="dxa" w:w="120"/>
            </w:tcMar>
          </w:tcPr>
          <w:p>
            <w:pPr>
              <w:spacing w:after="0" w:before="0"/>
              <w:jc w:val="center"/>
            </w:pPr>
            <w:r>
              <w:rPr>
                <w:rFonts w:ascii="Arial" w:cs="Arial" w:eastAsia="Arial" w:hAnsi="Arial"/>
                <w:b/>
                <w:bCs/>
                <w:color w:val="0B1F3A"/>
                <w:sz w:val="18"/>
                <w:szCs w:val="18"/>
              </w:rPr>
              <w:t xml:space="preserve">💡 Innovate UK Grants</w:t>
            </w:r>
          </w:p>
        </w:tc>
        <w:tc>
          <w:tcPr>
            <w:tcW w:type="dxa" w:w="1504"/>
            <w:tcBorders>
              <w:top w:val="single" w:color="D6E4F5" w:sz="1"/>
              <w:left w:val="single" w:color="D6E4F5" w:sz="1"/>
              <w:bottom w:val="single" w:color="D6E4F5" w:sz="1"/>
              <w:right w:val="single" w:color="D6E4F5" w:sz="1"/>
            </w:tcBorders>
            <w:shd w:fill="EBF2FA" w:val="clear"/>
            <w:tcMar>
              <w:top w:type="dxa" w:w="80"/>
              <w:left w:type="dxa" w:w="120"/>
              <w:bottom w:type="dxa" w:w="80"/>
              <w:right w:type="dxa" w:w="120"/>
            </w:tcMar>
          </w:tcPr>
          <w:p>
            <w:pPr>
              <w:spacing w:after="0" w:before="0"/>
              <w:jc w:val="center"/>
            </w:pPr>
            <w:r>
              <w:rPr>
                <w:rFonts w:ascii="Arial" w:cs="Arial" w:eastAsia="Arial" w:hAnsi="Arial"/>
                <w:b/>
                <w:bCs/>
                <w:color w:val="0B1F3A"/>
                <w:sz w:val="18"/>
                <w:szCs w:val="18"/>
              </w:rPr>
              <w:t xml:space="preserve">🔒 UK GDPR Compliant</w:t>
            </w:r>
          </w:p>
        </w:tc>
        <w:tc>
          <w:tcPr>
            <w:tcW w:type="dxa" w:w="1504"/>
            <w:tcBorders>
              <w:top w:val="single" w:color="D6E4F5" w:sz="1"/>
              <w:left w:val="single" w:color="D6E4F5" w:sz="1"/>
              <w:bottom w:val="single" w:color="D6E4F5" w:sz="1"/>
              <w:right w:val="single" w:color="D6E4F5" w:sz="1"/>
            </w:tcBorders>
            <w:shd w:fill="EBF2FA" w:val="clear"/>
            <w:tcMar>
              <w:top w:type="dxa" w:w="80"/>
              <w:left w:type="dxa" w:w="120"/>
              <w:bottom w:type="dxa" w:w="80"/>
              <w:right w:type="dxa" w:w="120"/>
            </w:tcMar>
          </w:tcPr>
          <w:p>
            <w:pPr>
              <w:spacing w:after="0" w:before="0"/>
              <w:jc w:val="center"/>
            </w:pPr>
            <w:r>
              <w:rPr>
                <w:rFonts w:ascii="Arial" w:cs="Arial" w:eastAsia="Arial" w:hAnsi="Arial"/>
                <w:b/>
                <w:bCs/>
                <w:color w:val="0B1F3A"/>
                <w:sz w:val="18"/>
                <w:szCs w:val="18"/>
              </w:rPr>
              <w:t xml:space="preserve">📋 R&amp;D Tax Credits Eligible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MVP development in the UK typically costs £12,000–£65,000 and takes 6–16 weeks depending on complexity. An MVP (Minimum Viable Product) is the smallest version of your product that validates your core assumption with real users. Unlike a prototype or proof of concept, an MVP is production-quality code that real users can engage with. Most UK MVP projects qualify for HMRC R&amp;D Tax Credits (up to 27% back) and potentially Innovate UK Smart Grants (£25,000–£500,000 for innovative technology projects).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What Is an MVP — and What It Is Not</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MVP stands for Minimum Viable Product. The concept originates from Eric Ries' Lean Startup methodology. An MVP is the smallest set of features that allows you to validate your most important business assumption with real users — and learn from their behaviour.</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200"/>
        <w:gridCol w:w="4413"/>
      </w:tblGrid>
      <w:tr>
        <w:tc>
          <w:tcPr>
            <w:tcW w:type="dxa" w:w="4413"/>
            <w:tcBorders>
              <w:top w:val="single" w:color="1A6B47" w:sz="1"/>
              <w:left w:val="single" w:color="1A6B47" w:sz="1"/>
              <w:bottom w:val="single" w:color="1A6B47" w:sz="1"/>
              <w:right w:val="single" w:color="1A6B47" w:sz="1"/>
            </w:tcBorders>
            <w:shd w:fill="D4EDDA" w:val="clear"/>
            <w:tcMar>
              <w:top w:type="dxa" w:w="160"/>
              <w:left w:type="dxa" w:w="200"/>
              <w:bottom w:type="dxa" w:w="160"/>
              <w:right w:type="dxa" w:w="200"/>
            </w:tcMar>
          </w:tcPr>
          <w:p>
            <w:pPr>
              <w:spacing w:after="100" w:before="0"/>
            </w:pPr>
            <w:r>
              <w:rPr>
                <w:rFonts w:ascii="Arial" w:cs="Arial" w:eastAsia="Arial" w:hAnsi="Arial"/>
                <w:b/>
                <w:bCs/>
                <w:color w:val="1A6B47"/>
                <w:sz w:val="22"/>
                <w:szCs w:val="22"/>
              </w:rPr>
              <w:t xml:space="preserve">✅ What an MVP IS</w:t>
            </w:r>
          </w:p>
          <w:p>
            <w:pPr>
              <w:pStyle w:val="ListParagraph"/>
              <w:numPr>
                <w:ilvl w:val="0"/>
                <w:numId w:val="2"/>
              </w:numPr>
              <w:spacing w:after="40" w:before="40"/>
            </w:pPr>
            <w:r>
              <w:rPr>
                <w:rFonts w:ascii="Arial" w:cs="Arial" w:eastAsia="Arial" w:hAnsi="Arial"/>
                <w:color w:val="1A2332"/>
                <w:sz w:val="20"/>
                <w:szCs w:val="20"/>
              </w:rPr>
              <w:t xml:space="preserve">Production-quality code (not a prototype)</w:t>
            </w:r>
          </w:p>
          <w:p>
            <w:pPr>
              <w:pStyle w:val="ListParagraph"/>
              <w:numPr>
                <w:ilvl w:val="0"/>
                <w:numId w:val="2"/>
              </w:numPr>
              <w:spacing w:after="40" w:before="40"/>
            </w:pPr>
            <w:r>
              <w:rPr>
                <w:rFonts w:ascii="Arial" w:cs="Arial" w:eastAsia="Arial" w:hAnsi="Arial"/>
                <w:color w:val="1A2332"/>
                <w:sz w:val="20"/>
                <w:szCs w:val="20"/>
              </w:rPr>
              <w:t xml:space="preserve">Solves ONE core user problem extremely well</w:t>
            </w:r>
          </w:p>
          <w:p>
            <w:pPr>
              <w:pStyle w:val="ListParagraph"/>
              <w:numPr>
                <w:ilvl w:val="0"/>
                <w:numId w:val="2"/>
              </w:numPr>
              <w:spacing w:after="40" w:before="40"/>
            </w:pPr>
            <w:r>
              <w:rPr>
                <w:rFonts w:ascii="Arial" w:cs="Arial" w:eastAsia="Arial" w:hAnsi="Arial"/>
                <w:color w:val="1A2332"/>
                <w:sz w:val="20"/>
                <w:szCs w:val="20"/>
              </w:rPr>
              <w:t xml:space="preserve">Real users can sign up and use it today</w:t>
            </w:r>
          </w:p>
          <w:p>
            <w:pPr>
              <w:pStyle w:val="ListParagraph"/>
              <w:numPr>
                <w:ilvl w:val="0"/>
                <w:numId w:val="2"/>
              </w:numPr>
              <w:spacing w:after="40" w:before="40"/>
            </w:pPr>
            <w:r>
              <w:rPr>
                <w:rFonts w:ascii="Arial" w:cs="Arial" w:eastAsia="Arial" w:hAnsi="Arial"/>
                <w:color w:val="1A2332"/>
                <w:sz w:val="20"/>
                <w:szCs w:val="20"/>
              </w:rPr>
              <w:t xml:space="preserve">Instrumented to capture user behaviour data</w:t>
            </w:r>
          </w:p>
          <w:p>
            <w:pPr>
              <w:pStyle w:val="ListParagraph"/>
              <w:numPr>
                <w:ilvl w:val="0"/>
                <w:numId w:val="2"/>
              </w:numPr>
              <w:spacing w:after="40" w:before="40"/>
            </w:pPr>
            <w:r>
              <w:rPr>
                <w:rFonts w:ascii="Arial" w:cs="Arial" w:eastAsia="Arial" w:hAnsi="Arial"/>
                <w:color w:val="1A2332"/>
                <w:sz w:val="20"/>
                <w:szCs w:val="20"/>
              </w:rPr>
              <w:t xml:space="preserve">UK GDPR compliant from day one</w:t>
            </w:r>
          </w:p>
          <w:p>
            <w:pPr>
              <w:pStyle w:val="ListParagraph"/>
              <w:numPr>
                <w:ilvl w:val="0"/>
                <w:numId w:val="2"/>
              </w:numPr>
              <w:spacing w:after="40" w:before="40"/>
            </w:pPr>
            <w:r>
              <w:rPr>
                <w:rFonts w:ascii="Arial" w:cs="Arial" w:eastAsia="Arial" w:hAnsi="Arial"/>
                <w:color w:val="1A2332"/>
                <w:sz w:val="20"/>
                <w:szCs w:val="20"/>
              </w:rPr>
              <w:t xml:space="preserve">Fast to build because scope is ruthlessly limited</w:t>
            </w:r>
          </w:p>
          <w:p>
            <w:pPr>
              <w:pStyle w:val="ListParagraph"/>
              <w:numPr>
                <w:ilvl w:val="0"/>
                <w:numId w:val="2"/>
              </w:numPr>
              <w:spacing w:after="40" w:before="40"/>
            </w:pPr>
            <w:r>
              <w:rPr>
                <w:rFonts w:ascii="Arial" w:cs="Arial" w:eastAsia="Arial" w:hAnsi="Arial"/>
                <w:color w:val="1A2332"/>
                <w:sz w:val="20"/>
                <w:szCs w:val="20"/>
              </w:rPr>
              <w:t xml:space="preserve">Foundation for your next iteration</w:t>
            </w:r>
          </w:p>
        </w:tc>
        <w:tc>
          <w:tcPr>
            <w:tcW w:type="dxa" w:w="200"/>
            <w:tcBorders>
              <w:top w:val="nil" w:color="FFFFFF" w:sz="0"/>
              <w:left w:val="nil" w:color="FFFFFF" w:sz="0"/>
              <w:bottom w:val="nil" w:color="FFFFFF" w:sz="0"/>
              <w:right w:val="nil" w:color="FFFFFF" w:sz="0"/>
            </w:tcBorders>
          </w:tcPr>
          <w:p/>
        </w:tc>
        <w:tc>
          <w:tcPr>
            <w:tcW w:type="dxa" w:w="4413"/>
            <w:tcBorders>
              <w:top w:val="single" w:color="C0392B" w:sz="1"/>
              <w:left w:val="single" w:color="C0392B" w:sz="1"/>
              <w:bottom w:val="single" w:color="C0392B" w:sz="1"/>
              <w:right w:val="single" w:color="C0392B" w:sz="1"/>
            </w:tcBorders>
            <w:shd w:fill="FDECEA" w:val="clear"/>
            <w:tcMar>
              <w:top w:type="dxa" w:w="160"/>
              <w:left w:type="dxa" w:w="200"/>
              <w:bottom w:type="dxa" w:w="160"/>
              <w:right w:type="dxa" w:w="200"/>
            </w:tcMar>
          </w:tcPr>
          <w:p>
            <w:pPr>
              <w:spacing w:after="100" w:before="0"/>
            </w:pPr>
            <w:r>
              <w:rPr>
                <w:rFonts w:ascii="Arial" w:cs="Arial" w:eastAsia="Arial" w:hAnsi="Arial"/>
                <w:b/>
                <w:bCs/>
                <w:color w:val="C0392B"/>
                <w:sz w:val="22"/>
                <w:szCs w:val="22"/>
              </w:rPr>
              <w:t xml:space="preserve">❌ What an MVP is NOT</w:t>
            </w:r>
          </w:p>
          <w:p>
            <w:pPr>
              <w:pStyle w:val="ListParagraph"/>
              <w:numPr>
                <w:ilvl w:val="0"/>
                <w:numId w:val="3"/>
              </w:numPr>
              <w:spacing w:after="40" w:before="40"/>
            </w:pPr>
            <w:r>
              <w:rPr>
                <w:rFonts w:ascii="Arial" w:cs="Arial" w:eastAsia="Arial" w:hAnsi="Arial"/>
                <w:color w:val="1A2332"/>
                <w:sz w:val="20"/>
                <w:szCs w:val="20"/>
              </w:rPr>
              <w:t xml:space="preserve">A rough prototype or wireframe</w:t>
            </w:r>
          </w:p>
          <w:p>
            <w:pPr>
              <w:pStyle w:val="ListParagraph"/>
              <w:numPr>
                <w:ilvl w:val="0"/>
                <w:numId w:val="3"/>
              </w:numPr>
              <w:spacing w:after="40" w:before="40"/>
            </w:pPr>
            <w:r>
              <w:rPr>
                <w:rFonts w:ascii="Arial" w:cs="Arial" w:eastAsia="Arial" w:hAnsi="Arial"/>
                <w:color w:val="1A2332"/>
                <w:sz w:val="20"/>
                <w:szCs w:val="20"/>
              </w:rPr>
              <w:t xml:space="preserve">A feature-complete product with every "nice to have"</w:t>
            </w:r>
          </w:p>
          <w:p>
            <w:pPr>
              <w:pStyle w:val="ListParagraph"/>
              <w:numPr>
                <w:ilvl w:val="0"/>
                <w:numId w:val="3"/>
              </w:numPr>
              <w:spacing w:after="40" w:before="40"/>
            </w:pPr>
            <w:r>
              <w:rPr>
                <w:rFonts w:ascii="Arial" w:cs="Arial" w:eastAsia="Arial" w:hAnsi="Arial"/>
                <w:color w:val="1A2332"/>
                <w:sz w:val="20"/>
                <w:szCs w:val="20"/>
              </w:rPr>
              <w:t xml:space="preserve">Something you build for 12+ months before showing anyone</w:t>
            </w:r>
          </w:p>
          <w:p>
            <w:pPr>
              <w:pStyle w:val="ListParagraph"/>
              <w:numPr>
                <w:ilvl w:val="0"/>
                <w:numId w:val="3"/>
              </w:numPr>
              <w:spacing w:after="40" w:before="40"/>
            </w:pPr>
            <w:r>
              <w:rPr>
                <w:rFonts w:ascii="Arial" w:cs="Arial" w:eastAsia="Arial" w:hAnsi="Arial"/>
                <w:color w:val="1A2332"/>
                <w:sz w:val="20"/>
                <w:szCs w:val="20"/>
              </w:rPr>
              <w:t xml:space="preserve">A way to avoid making hard scope decisions</w:t>
            </w:r>
          </w:p>
          <w:p>
            <w:pPr>
              <w:pStyle w:val="ListParagraph"/>
              <w:numPr>
                <w:ilvl w:val="0"/>
                <w:numId w:val="3"/>
              </w:numPr>
              <w:spacing w:after="40" w:before="40"/>
            </w:pPr>
            <w:r>
              <w:rPr>
                <w:rFonts w:ascii="Arial" w:cs="Arial" w:eastAsia="Arial" w:hAnsi="Arial"/>
                <w:color w:val="1A2332"/>
                <w:sz w:val="20"/>
                <w:szCs w:val="20"/>
              </w:rPr>
              <w:t xml:space="preserve">An excuse to ship broken or insecure software</w:t>
            </w:r>
          </w:p>
          <w:p>
            <w:pPr>
              <w:pStyle w:val="ListParagraph"/>
              <w:numPr>
                <w:ilvl w:val="0"/>
                <w:numId w:val="3"/>
              </w:numPr>
              <w:spacing w:after="40" w:before="40"/>
            </w:pPr>
            <w:r>
              <w:rPr>
                <w:rFonts w:ascii="Arial" w:cs="Arial" w:eastAsia="Arial" w:hAnsi="Arial"/>
                <w:color w:val="1A2332"/>
                <w:sz w:val="20"/>
                <w:szCs w:val="20"/>
              </w:rPr>
              <w:t xml:space="preserve">Something you scale before validating the core assumption</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MVP Pricing — Lean vs Investor-Ready</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Not all MVPs are equal. The cost depends heavily on what "minimum" means for your specific market:</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282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MVP Type</w:t>
            </w:r>
          </w:p>
        </w:tc>
        <w:tc>
          <w:tcPr>
            <w:tcW w:type="dxa" w:w="2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Timeline</w:t>
            </w:r>
          </w:p>
        </w:tc>
        <w:tc>
          <w:tcPr>
            <w:tcW w:type="dxa" w:w="2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 Range</w:t>
            </w:r>
          </w:p>
        </w:tc>
        <w:tc>
          <w:tcPr>
            <w:tcW w:type="dxa" w:w="28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Best For</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Lean MVP</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6–10 weeks</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£12,000–£30,000</w:t>
            </w:r>
          </w:p>
        </w:tc>
        <w:tc>
          <w:tcPr>
            <w:tcW w:type="dxa" w:w="28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Bootstrapped founders validating a B2C idea with early adopters</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Standard MVP</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8–14 weeks</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£25,000–£50,000</w:t>
            </w:r>
          </w:p>
        </w:tc>
        <w:tc>
          <w:tcPr>
            <w:tcW w:type="dxa" w:w="28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Pre-seed startups, Innovate UK grant projects, B2B validation with first customers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Investor-Ready MVP</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10–16 weeks</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£40,000–£65,000</w:t>
            </w:r>
          </w:p>
        </w:tc>
        <w:tc>
          <w:tcPr>
            <w:tcW w:type="dxa" w:w="28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Seed-stage startups preparing for investment round, enterprise-grade architecture required from day one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Regulated MVP (FinTech/HealthTech)</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12–20 weeks</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£35,000–£80,000</w:t>
            </w:r>
          </w:p>
        </w:tc>
        <w:tc>
          <w:tcPr>
            <w:tcW w:type="dxa" w:w="28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FCA-aware, DTAC-aware, or GDS-standard MVPs where compliance is a first-class requirement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R&amp;D Tax Credits Reminder: Most MVP projects qualify for HMRC R&amp;D Tax Credits. A £40,000 MVP could effectively cost £29,200 after relief (27% SME scheme). ClickMasters documents qualifying R&amp;D activities as standard. See /rd-tax-credits-software-development/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Innovate UK Grants for MVP Development</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UK entrepreneurs have access to significant government funding to support software product development. ClickMasters has supported multiple clients through these processes as technical partner:</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Innovate UK Smart Grants: £25,000–£500,000 for innovative technology projects. Competitive application. ClickMasters supports technical appendices and feasibility sections.</w:t>
      </w:r>
    </w:p>
    <w:p>
      <w:pPr>
        <w:pStyle w:val="ListParagraph"/>
        <w:numPr>
          <w:ilvl w:val="0"/>
          <w:numId w:val="2"/>
        </w:numPr>
        <w:spacing w:after="60" w:before="60"/>
      </w:pPr>
      <w:r>
        <w:rPr>
          <w:rFonts w:ascii="Arial" w:cs="Arial" w:eastAsia="Arial" w:hAnsi="Arial"/>
          <w:b w:val="false"/>
          <w:bCs w:val="false"/>
          <w:color w:val="1A2332"/>
          <w:sz w:val="22"/>
          <w:szCs w:val="22"/>
        </w:rPr>
        <w:t xml:space="preserve">Innovate UK Edge: £250,000–£1,500,000 for growth-stage businesses with global ambition. Net zero and digital focus.</w:t>
      </w:r>
    </w:p>
    <w:p>
      <w:pPr>
        <w:pStyle w:val="ListParagraph"/>
        <w:numPr>
          <w:ilvl w:val="0"/>
          <w:numId w:val="2"/>
        </w:numPr>
        <w:spacing w:after="60" w:before="60"/>
      </w:pPr>
      <w:r>
        <w:rPr>
          <w:rFonts w:ascii="Arial" w:cs="Arial" w:eastAsia="Arial" w:hAnsi="Arial"/>
          <w:b w:val="false"/>
          <w:bCs w:val="false"/>
          <w:color w:val="1A2332"/>
          <w:sz w:val="22"/>
          <w:szCs w:val="22"/>
        </w:rPr>
        <w:t xml:space="preserve">Knowledge Transfer Partnership (KTP): £50,000–£250,000 for projects combining a business with academic partner. ClickMasters can be technical delivery partner.</w:t>
      </w:r>
    </w:p>
    <w:p>
      <w:pPr>
        <w:pStyle w:val="ListParagraph"/>
        <w:numPr>
          <w:ilvl w:val="0"/>
          <w:numId w:val="2"/>
        </w:numPr>
        <w:spacing w:after="60" w:before="60"/>
      </w:pPr>
      <w:r>
        <w:rPr>
          <w:rFonts w:ascii="Arial" w:cs="Arial" w:eastAsia="Arial" w:hAnsi="Arial"/>
          <w:b w:val="false"/>
          <w:bCs w:val="false"/>
          <w:color w:val="1A2332"/>
          <w:sz w:val="22"/>
          <w:szCs w:val="22"/>
        </w:rPr>
        <w:t xml:space="preserve">Horizon Europe (UK Association confirmed): European funding programmes now open to UK applicants. AI, health, and digital strands especially relevant.</w:t>
      </w:r>
    </w:p>
    <w:p>
      <w:pPr>
        <w:pStyle w:val="ListParagraph"/>
        <w:numPr>
          <w:ilvl w:val="0"/>
          <w:numId w:val="2"/>
        </w:numPr>
        <w:spacing w:after="60" w:before="60"/>
      </w:pPr>
      <w:r>
        <w:rPr>
          <w:rFonts w:ascii="Arial" w:cs="Arial" w:eastAsia="Arial" w:hAnsi="Arial"/>
          <w:b w:val="false"/>
          <w:bCs w:val="false"/>
          <w:color w:val="1A2332"/>
          <w:sz w:val="22"/>
          <w:szCs w:val="22"/>
        </w:rPr>
        <w:t xml:space="preserve">EIS/SEIS Investment: Not a grant, but software companies whose build costs are structured correctly can qualify as SEIS/EIS-eligible investment — attracting angel investment with significant tax relief for investors.</w:t>
      </w:r>
    </w:p>
    <w:p>
      <w:pPr>
        <w:spacing w:after="60" w:before="60"/>
      </w:pPr>
    </w:p>
    <w:p>
      <w:pPr>
        <w:spacing w:after="160" w:before="100"/>
        <w:jc w:val="left"/>
      </w:pPr>
      <w:r>
        <w:rPr>
          <w:rFonts w:ascii="Arial" w:cs="Arial" w:eastAsia="Arial" w:hAnsi="Arial"/>
          <w:b w:val="false"/>
          <w:bCs w:val="false"/>
          <w:i/>
          <w:iCs/>
          <w:color w:val="5A6E82"/>
          <w:sz w:val="20"/>
          <w:szCs w:val="20"/>
        </w:rPr>
        <w:t xml:space="preserve">Note: Innovate UK grant applications require a strong technical narrative. ClickMasters has experience writing and reviewing technical sections of successful Innovate UK applications as part of our client work.</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MVP Development Process — 6 Stages</w:t>
            </w:r>
          </w:p>
        </w:tc>
      </w:tr>
    </w:tbl>
    <w:p>
      <w:pPr>
        <w:spacing w:after="60" w:before="60"/>
      </w:pPr>
    </w:p>
    <w:p>
      <w:pPr>
        <w:spacing w:after="160" w:before="100"/>
        <w:jc w:val="left"/>
      </w:pPr>
      <w:r>
        <w:rPr>
          <w:rFonts w:ascii="Arial" w:cs="Arial" w:eastAsia="Arial" w:hAnsi="Arial"/>
          <w:b/>
          <w:bCs/>
          <w:i w:val="false"/>
          <w:iCs w:val="false"/>
          <w:color w:val="E8612A"/>
          <w:sz w:val="22"/>
          <w:szCs w:val="22"/>
        </w:rPr>
        <w:t xml:space="preserve">Stage 1: Product Discovery (Week 1–2)</w:t>
      </w:r>
    </w:p>
    <w:p>
      <w:pPr>
        <w:spacing w:after="160" w:before="100"/>
        <w:jc w:val="left"/>
      </w:pPr>
      <w:r>
        <w:rPr>
          <w:rFonts w:ascii="Arial" w:cs="Arial" w:eastAsia="Arial" w:hAnsi="Arial"/>
          <w:b w:val="false"/>
          <w:bCs w:val="false"/>
          <w:i w:val="false"/>
          <w:iCs w:val="false"/>
          <w:color w:val="1A2332"/>
          <w:sz w:val="22"/>
          <w:szCs w:val="22"/>
        </w:rPr>
        <w:t xml:space="preserve">We run a structured discovery workshop to identify: your core hypothesis, the one problem your MVP must solve, your target user profile, the one behaviour you want to observe post-launch, and the technical constraints. Output: a lean product specification and wireframes for the core user journey.</w:t>
      </w:r>
    </w:p>
    <w:p>
      <w:pPr>
        <w:spacing w:after="60" w:before="60"/>
      </w:pPr>
    </w:p>
    <w:p>
      <w:pPr>
        <w:spacing w:after="160" w:before="100"/>
        <w:jc w:val="left"/>
      </w:pPr>
      <w:r>
        <w:rPr>
          <w:rFonts w:ascii="Arial" w:cs="Arial" w:eastAsia="Arial" w:hAnsi="Arial"/>
          <w:b/>
          <w:bCs/>
          <w:i w:val="false"/>
          <w:iCs w:val="false"/>
          <w:color w:val="E8612A"/>
          <w:sz w:val="22"/>
          <w:szCs w:val="22"/>
        </w:rPr>
        <w:t xml:space="preserve">Stage 2: Technical Architecture (Week 2–3)</w:t>
      </w:r>
    </w:p>
    <w:p>
      <w:pPr>
        <w:spacing w:after="160" w:before="100"/>
        <w:jc w:val="left"/>
      </w:pPr>
      <w:r>
        <w:rPr>
          <w:rFonts w:ascii="Arial" w:cs="Arial" w:eastAsia="Arial" w:hAnsi="Arial"/>
          <w:b w:val="false"/>
          <w:bCs w:val="false"/>
          <w:i w:val="false"/>
          <w:iCs w:val="false"/>
          <w:color w:val="1A2332"/>
          <w:sz w:val="22"/>
          <w:szCs w:val="22"/>
        </w:rPr>
        <w:t xml:space="preserve">We design the technology stack and architecture with scalability and UK GDPR compliance as first-class concerns — not afterthoughts. Even an MVP should not be built on foundations you'll need to tear down when you scale.</w:t>
      </w:r>
    </w:p>
    <w:p>
      <w:pPr>
        <w:spacing w:after="60" w:before="60"/>
      </w:pPr>
    </w:p>
    <w:p>
      <w:pPr>
        <w:spacing w:after="160" w:before="100"/>
        <w:jc w:val="left"/>
      </w:pPr>
      <w:r>
        <w:rPr>
          <w:rFonts w:ascii="Arial" w:cs="Arial" w:eastAsia="Arial" w:hAnsi="Arial"/>
          <w:b/>
          <w:bCs/>
          <w:i w:val="false"/>
          <w:iCs w:val="false"/>
          <w:color w:val="E8612A"/>
          <w:sz w:val="22"/>
          <w:szCs w:val="22"/>
        </w:rPr>
        <w:t xml:space="preserve">Stage 3: Build — Sprint 1 (Weeks 3–6)</w:t>
      </w:r>
    </w:p>
    <w:p>
      <w:pPr>
        <w:spacing w:after="160" w:before="100"/>
        <w:jc w:val="left"/>
      </w:pPr>
      <w:r>
        <w:rPr>
          <w:rFonts w:ascii="Arial" w:cs="Arial" w:eastAsia="Arial" w:hAnsi="Arial"/>
          <w:b w:val="false"/>
          <w:bCs w:val="false"/>
          <w:i w:val="false"/>
          <w:iCs w:val="false"/>
          <w:color w:val="1A2332"/>
          <w:sz w:val="22"/>
          <w:szCs w:val="22"/>
        </w:rPr>
        <w:t xml:space="preserve">First sprint: core user journeys only. We build in 2-week sprints. You have access to a staging environment from day one. Working software at the end of every sprint — not a demo or prototype.</w:t>
      </w:r>
    </w:p>
    <w:p>
      <w:pPr>
        <w:spacing w:after="60" w:before="60"/>
      </w:pPr>
    </w:p>
    <w:p>
      <w:pPr>
        <w:spacing w:after="160" w:before="100"/>
        <w:jc w:val="left"/>
      </w:pPr>
      <w:r>
        <w:rPr>
          <w:rFonts w:ascii="Arial" w:cs="Arial" w:eastAsia="Arial" w:hAnsi="Arial"/>
          <w:b/>
          <w:bCs/>
          <w:i w:val="false"/>
          <w:iCs w:val="false"/>
          <w:color w:val="E8612A"/>
          <w:sz w:val="22"/>
          <w:szCs w:val="22"/>
        </w:rPr>
        <w:t xml:space="preserve">Stage 4: Build — Sprint 2+ (Weeks 6–12)</w:t>
      </w:r>
    </w:p>
    <w:p>
      <w:pPr>
        <w:spacing w:after="160" w:before="100"/>
        <w:jc w:val="left"/>
      </w:pPr>
      <w:r>
        <w:rPr>
          <w:rFonts w:ascii="Arial" w:cs="Arial" w:eastAsia="Arial" w:hAnsi="Arial"/>
          <w:b w:val="false"/>
          <w:bCs w:val="false"/>
          <w:i w:val="false"/>
          <w:iCs w:val="false"/>
          <w:color w:val="1A2332"/>
          <w:sz w:val="22"/>
          <w:szCs w:val="22"/>
        </w:rPr>
        <w:t xml:space="preserve">Subsequent sprints complete remaining core features, onboarding flow, error handling, and analytics instrumentation. We instrument every key action so you can measure what users actually do post-launch.</w:t>
      </w:r>
    </w:p>
    <w:p>
      <w:pPr>
        <w:spacing w:after="60" w:before="60"/>
      </w:pPr>
    </w:p>
    <w:p>
      <w:pPr>
        <w:spacing w:after="160" w:before="100"/>
        <w:jc w:val="left"/>
      </w:pPr>
      <w:r>
        <w:rPr>
          <w:rFonts w:ascii="Arial" w:cs="Arial" w:eastAsia="Arial" w:hAnsi="Arial"/>
          <w:b/>
          <w:bCs/>
          <w:i w:val="false"/>
          <w:iCs w:val="false"/>
          <w:color w:val="E8612A"/>
          <w:sz w:val="22"/>
          <w:szCs w:val="22"/>
        </w:rPr>
        <w:t xml:space="preserve">Stage 5: Security &amp; GDPR Review</w:t>
      </w:r>
    </w:p>
    <w:p>
      <w:pPr>
        <w:spacing w:after="160" w:before="100"/>
        <w:jc w:val="left"/>
      </w:pPr>
      <w:r>
        <w:rPr>
          <w:rFonts w:ascii="Arial" w:cs="Arial" w:eastAsia="Arial" w:hAnsi="Arial"/>
          <w:b w:val="false"/>
          <w:bCs w:val="false"/>
          <w:i w:val="false"/>
          <w:iCs w:val="false"/>
          <w:color w:val="1A2332"/>
          <w:sz w:val="22"/>
          <w:szCs w:val="22"/>
        </w:rPr>
        <w:t xml:space="preserve">OWASP Top 10 security review. UK GDPR data flow audit. Consent mechanics verified. Privacy notice implemented. For regulated MVPs: FCA awareness check or DTAC readiness assessment.</w:t>
      </w:r>
    </w:p>
    <w:p>
      <w:pPr>
        <w:spacing w:after="60" w:before="60"/>
      </w:pPr>
    </w:p>
    <w:p>
      <w:pPr>
        <w:spacing w:after="160" w:before="100"/>
        <w:jc w:val="left"/>
      </w:pPr>
      <w:r>
        <w:rPr>
          <w:rFonts w:ascii="Arial" w:cs="Arial" w:eastAsia="Arial" w:hAnsi="Arial"/>
          <w:b/>
          <w:bCs/>
          <w:i w:val="false"/>
          <w:iCs w:val="false"/>
          <w:color w:val="E8612A"/>
          <w:sz w:val="22"/>
          <w:szCs w:val="22"/>
        </w:rPr>
        <w:t xml:space="preserve">Stage 6: Launch &amp; Handover</w:t>
      </w:r>
    </w:p>
    <w:p>
      <w:pPr>
        <w:spacing w:after="160" w:before="100"/>
        <w:jc w:val="left"/>
      </w:pPr>
      <w:r>
        <w:rPr>
          <w:rFonts w:ascii="Arial" w:cs="Arial" w:eastAsia="Arial" w:hAnsi="Arial"/>
          <w:b w:val="false"/>
          <w:bCs w:val="false"/>
          <w:i w:val="false"/>
          <w:iCs w:val="false"/>
          <w:color w:val="1A2332"/>
          <w:sz w:val="22"/>
          <w:szCs w:val="22"/>
        </w:rPr>
        <w:t xml:space="preserve">We deploy to your production environment, set up monitoring and alerting, complete documentation, and run a handover session with your team. Full IP transferred. Optional: maintenance retainer and post-launch iteration support.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What Should Be In Your MVP — and What Should Not</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The hardest part of MVP development is deciding what NOT to build. Here is a framework we use in discovery:</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4613"/>
      </w:tblGrid>
      <w:tr>
        <w:trPr>
          <w:tblHeader/>
        </w:trPr>
        <w:tc>
          <w:tcPr>
            <w:tcW w:type="dxa" w:w="4413"/>
            <w:tcBorders>
              <w:top w:val="single" w:color="0B1F3A" w:sz="1"/>
              <w:left w:val="single" w:color="0B1F3A" w:sz="1"/>
              <w:bottom w:val="single" w:color="0B1F3A" w:sz="1"/>
              <w:right w:val="single" w:color="0B1F3A" w:sz="1"/>
            </w:tcBorders>
            <w:shd w:fill="1A6B47"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Include in MVP</w:t>
            </w:r>
          </w:p>
        </w:tc>
        <w:tc>
          <w:tcPr>
            <w:tcW w:type="dxa" w:w="4613"/>
            <w:tcBorders>
              <w:top w:val="single" w:color="0B1F3A" w:sz="1"/>
              <w:left w:val="single" w:color="0B1F3A" w:sz="1"/>
              <w:bottom w:val="single" w:color="0B1F3A" w:sz="1"/>
              <w:right w:val="single" w:color="0B1F3A" w:sz="1"/>
            </w:tcBorders>
            <w:shd w:fill="C0392B"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Defer to Version 2</w:t>
            </w:r>
          </w:p>
        </w:tc>
      </w:tr>
      <w:tr>
        <w:tc>
          <w:tcPr>
            <w:tcW w:type="dxa" w:w="4413"/>
            <w:tcBorders>
              <w:top w:val="single" w:color="D6E4F5" w:sz="1"/>
              <w:left w:val="single" w:color="D6E4F5" w:sz="1"/>
              <w:bottom w:val="single" w:color="D6E4F5" w:sz="1"/>
              <w:right w:val="single" w:color="D6E4F5" w:sz="1"/>
            </w:tcBorders>
            <w:shd w:fill="F5F7FA" w:val="clear"/>
            <w:tcMar>
              <w:top w:type="dxa" w:w="100"/>
              <w:left w:type="dxa" w:w="160"/>
              <w:bottom w:type="dxa" w:w="100"/>
              <w:right w:type="dxa" w:w="160"/>
            </w:tcMar>
          </w:tcPr>
          <w:p>
            <w:pPr>
              <w:spacing w:after="0" w:before="0"/>
            </w:pPr>
            <w:r>
              <w:rPr>
                <w:rFonts w:ascii="Arial" w:cs="Arial" w:eastAsia="Arial" w:hAnsi="Arial"/>
                <w:color w:val="1A2332"/>
                <w:sz w:val="20"/>
                <w:szCs w:val="20"/>
              </w:rPr>
              <w:t xml:space="preserve">The one core action your user MUST be able to take</w:t>
            </w:r>
          </w:p>
        </w:tc>
        <w:tc>
          <w:tcPr>
            <w:tcW w:type="dxa" w:w="4613"/>
            <w:tcBorders>
              <w:top w:val="single" w:color="D6E4F5" w:sz="1"/>
              <w:left w:val="single" w:color="D6E4F5" w:sz="1"/>
              <w:bottom w:val="single" w:color="D6E4F5" w:sz="1"/>
              <w:right w:val="single" w:color="D6E4F5" w:sz="1"/>
            </w:tcBorders>
            <w:shd w:fill="F5F7FA" w:val="clear"/>
            <w:tcMar>
              <w:top w:type="dxa" w:w="100"/>
              <w:left w:type="dxa" w:w="160"/>
              <w:bottom w:type="dxa" w:w="100"/>
              <w:right w:type="dxa" w:w="160"/>
            </w:tcMar>
          </w:tcPr>
          <w:p>
            <w:pPr>
              <w:spacing w:after="0" w:before="0"/>
            </w:pPr>
            <w:r>
              <w:rPr>
                <w:rFonts w:ascii="Arial" w:cs="Arial" w:eastAsia="Arial" w:hAnsi="Arial"/>
                <w:color w:val="1A2332"/>
                <w:sz w:val="20"/>
                <w:szCs w:val="20"/>
              </w:rPr>
              <w:t xml:space="preserve">Admin dashboard and reporting (nice-to-have, not core)</w:t>
            </w:r>
          </w:p>
        </w:tc>
      </w:tr>
      <w:tr>
        <w:tc>
          <w:tcPr>
            <w:tcW w:type="dxa" w:w="4413"/>
            <w:tcBorders>
              <w:top w:val="single" w:color="D6E4F5" w:sz="1"/>
              <w:left w:val="single" w:color="D6E4F5" w:sz="1"/>
              <w:bottom w:val="single" w:color="D6E4F5" w:sz="1"/>
              <w:right w:val="single" w:color="D6E4F5" w:sz="1"/>
            </w:tcBorders>
            <w:shd w:fill="FFFFFF" w:val="clear"/>
            <w:tcMar>
              <w:top w:type="dxa" w:w="100"/>
              <w:left w:type="dxa" w:w="160"/>
              <w:bottom w:type="dxa" w:w="100"/>
              <w:right w:type="dxa" w:w="160"/>
            </w:tcMar>
          </w:tcPr>
          <w:p>
            <w:pPr>
              <w:spacing w:after="0" w:before="0"/>
            </w:pPr>
            <w:r>
              <w:rPr>
                <w:rFonts w:ascii="Arial" w:cs="Arial" w:eastAsia="Arial" w:hAnsi="Arial"/>
                <w:color w:val="1A2332"/>
                <w:sz w:val="20"/>
                <w:szCs w:val="20"/>
              </w:rPr>
              <w:t xml:space="preserve">User onboarding and sign-up flow</w:t>
            </w:r>
          </w:p>
        </w:tc>
        <w:tc>
          <w:tcPr>
            <w:tcW w:type="dxa" w:w="4613"/>
            <w:tcBorders>
              <w:top w:val="single" w:color="D6E4F5" w:sz="1"/>
              <w:left w:val="single" w:color="D6E4F5" w:sz="1"/>
              <w:bottom w:val="single" w:color="D6E4F5" w:sz="1"/>
              <w:right w:val="single" w:color="D6E4F5" w:sz="1"/>
            </w:tcBorders>
            <w:shd w:fill="FFFFFF" w:val="clear"/>
            <w:tcMar>
              <w:top w:type="dxa" w:w="100"/>
              <w:left w:type="dxa" w:w="160"/>
              <w:bottom w:type="dxa" w:w="100"/>
              <w:right w:type="dxa" w:w="160"/>
            </w:tcMar>
          </w:tcPr>
          <w:p>
            <w:pPr>
              <w:spacing w:after="0" w:before="0"/>
            </w:pPr>
            <w:r>
              <w:rPr>
                <w:rFonts w:ascii="Arial" w:cs="Arial" w:eastAsia="Arial" w:hAnsi="Arial"/>
                <w:color w:val="1A2332"/>
                <w:sz w:val="20"/>
                <w:szCs w:val="20"/>
              </w:rPr>
              <w:t xml:space="preserve">Social login (add later — core login first)</w:t>
            </w:r>
          </w:p>
        </w:tc>
      </w:tr>
      <w:tr>
        <w:tc>
          <w:tcPr>
            <w:tcW w:type="dxa" w:w="4413"/>
            <w:tcBorders>
              <w:top w:val="single" w:color="D6E4F5" w:sz="1"/>
              <w:left w:val="single" w:color="D6E4F5" w:sz="1"/>
              <w:bottom w:val="single" w:color="D6E4F5" w:sz="1"/>
              <w:right w:val="single" w:color="D6E4F5" w:sz="1"/>
            </w:tcBorders>
            <w:shd w:fill="F5F7FA" w:val="clear"/>
            <w:tcMar>
              <w:top w:type="dxa" w:w="100"/>
              <w:left w:type="dxa" w:w="160"/>
              <w:bottom w:type="dxa" w:w="100"/>
              <w:right w:type="dxa" w:w="160"/>
            </w:tcMar>
          </w:tcPr>
          <w:p>
            <w:pPr>
              <w:spacing w:after="0" w:before="0"/>
            </w:pPr>
            <w:r>
              <w:rPr>
                <w:rFonts w:ascii="Arial" w:cs="Arial" w:eastAsia="Arial" w:hAnsi="Arial"/>
                <w:color w:val="1A2332"/>
                <w:sz w:val="20"/>
                <w:szCs w:val="20"/>
              </w:rPr>
              <w:t xml:space="preserve">Basic user settings (password, email)</w:t>
            </w:r>
          </w:p>
        </w:tc>
        <w:tc>
          <w:tcPr>
            <w:tcW w:type="dxa" w:w="4613"/>
            <w:tcBorders>
              <w:top w:val="single" w:color="D6E4F5" w:sz="1"/>
              <w:left w:val="single" w:color="D6E4F5" w:sz="1"/>
              <w:bottom w:val="single" w:color="D6E4F5" w:sz="1"/>
              <w:right w:val="single" w:color="D6E4F5" w:sz="1"/>
            </w:tcBorders>
            <w:shd w:fill="F5F7FA" w:val="clear"/>
            <w:tcMar>
              <w:top w:type="dxa" w:w="100"/>
              <w:left w:type="dxa" w:w="160"/>
              <w:bottom w:type="dxa" w:w="100"/>
              <w:right w:type="dxa" w:w="160"/>
            </w:tcMar>
          </w:tcPr>
          <w:p>
            <w:pPr>
              <w:spacing w:after="0" w:before="0"/>
            </w:pPr>
            <w:r>
              <w:rPr>
                <w:rFonts w:ascii="Arial" w:cs="Arial" w:eastAsia="Arial" w:hAnsi="Arial"/>
                <w:color w:val="1A2332"/>
                <w:sz w:val="20"/>
                <w:szCs w:val="20"/>
              </w:rPr>
              <w:t xml:space="preserve">Advanced user roles and permissions</w:t>
            </w:r>
          </w:p>
        </w:tc>
      </w:tr>
      <w:tr>
        <w:tc>
          <w:tcPr>
            <w:tcW w:type="dxa" w:w="4413"/>
            <w:tcBorders>
              <w:top w:val="single" w:color="D6E4F5" w:sz="1"/>
              <w:left w:val="single" w:color="D6E4F5" w:sz="1"/>
              <w:bottom w:val="single" w:color="D6E4F5" w:sz="1"/>
              <w:right w:val="single" w:color="D6E4F5" w:sz="1"/>
            </w:tcBorders>
            <w:shd w:fill="FFFFFF" w:val="clear"/>
            <w:tcMar>
              <w:top w:type="dxa" w:w="100"/>
              <w:left w:type="dxa" w:w="160"/>
              <w:bottom w:type="dxa" w:w="100"/>
              <w:right w:type="dxa" w:w="160"/>
            </w:tcMar>
          </w:tcPr>
          <w:p>
            <w:pPr>
              <w:spacing w:after="0" w:before="0"/>
            </w:pPr>
            <w:r>
              <w:rPr>
                <w:rFonts w:ascii="Arial" w:cs="Arial" w:eastAsia="Arial" w:hAnsi="Arial"/>
                <w:color w:val="1A2332"/>
                <w:sz w:val="20"/>
                <w:szCs w:val="20"/>
              </w:rPr>
              <w:t xml:space="preserve">The payment flow (if payment is core to your model)</w:t>
            </w:r>
          </w:p>
        </w:tc>
        <w:tc>
          <w:tcPr>
            <w:tcW w:type="dxa" w:w="4613"/>
            <w:tcBorders>
              <w:top w:val="single" w:color="D6E4F5" w:sz="1"/>
              <w:left w:val="single" w:color="D6E4F5" w:sz="1"/>
              <w:bottom w:val="single" w:color="D6E4F5" w:sz="1"/>
              <w:right w:val="single" w:color="D6E4F5" w:sz="1"/>
            </w:tcBorders>
            <w:shd w:fill="FFFFFF" w:val="clear"/>
            <w:tcMar>
              <w:top w:type="dxa" w:w="100"/>
              <w:left w:type="dxa" w:w="160"/>
              <w:bottom w:type="dxa" w:w="100"/>
              <w:right w:type="dxa" w:w="160"/>
            </w:tcMar>
          </w:tcPr>
          <w:p>
            <w:pPr>
              <w:spacing w:after="0" w:before="0"/>
            </w:pPr>
            <w:r>
              <w:rPr>
                <w:rFonts w:ascii="Arial" w:cs="Arial" w:eastAsia="Arial" w:hAnsi="Arial"/>
                <w:color w:val="1A2332"/>
                <w:sz w:val="20"/>
                <w:szCs w:val="20"/>
              </w:rPr>
              <w:t xml:space="preserve">Discount codes, loyalty points, referrals</w:t>
            </w:r>
          </w:p>
        </w:tc>
      </w:tr>
      <w:tr>
        <w:tc>
          <w:tcPr>
            <w:tcW w:type="dxa" w:w="4413"/>
            <w:tcBorders>
              <w:top w:val="single" w:color="D6E4F5" w:sz="1"/>
              <w:left w:val="single" w:color="D6E4F5" w:sz="1"/>
              <w:bottom w:val="single" w:color="D6E4F5" w:sz="1"/>
              <w:right w:val="single" w:color="D6E4F5" w:sz="1"/>
            </w:tcBorders>
            <w:shd w:fill="F5F7FA" w:val="clear"/>
            <w:tcMar>
              <w:top w:type="dxa" w:w="100"/>
              <w:left w:type="dxa" w:w="160"/>
              <w:bottom w:type="dxa" w:w="100"/>
              <w:right w:type="dxa" w:w="160"/>
            </w:tcMar>
          </w:tcPr>
          <w:p>
            <w:pPr>
              <w:spacing w:after="0" w:before="0"/>
            </w:pPr>
            <w:r>
              <w:rPr>
                <w:rFonts w:ascii="Arial" w:cs="Arial" w:eastAsia="Arial" w:hAnsi="Arial"/>
                <w:color w:val="1A2332"/>
                <w:sz w:val="20"/>
                <w:szCs w:val="20"/>
              </w:rPr>
              <w:t xml:space="preserve">Email notifications for key events</w:t>
            </w:r>
          </w:p>
        </w:tc>
        <w:tc>
          <w:tcPr>
            <w:tcW w:type="dxa" w:w="4613"/>
            <w:tcBorders>
              <w:top w:val="single" w:color="D6E4F5" w:sz="1"/>
              <w:left w:val="single" w:color="D6E4F5" w:sz="1"/>
              <w:bottom w:val="single" w:color="D6E4F5" w:sz="1"/>
              <w:right w:val="single" w:color="D6E4F5" w:sz="1"/>
            </w:tcBorders>
            <w:shd w:fill="F5F7FA" w:val="clear"/>
            <w:tcMar>
              <w:top w:type="dxa" w:w="100"/>
              <w:left w:type="dxa" w:w="160"/>
              <w:bottom w:type="dxa" w:w="100"/>
              <w:right w:type="dxa" w:w="160"/>
            </w:tcMar>
          </w:tcPr>
          <w:p>
            <w:pPr>
              <w:spacing w:after="0" w:before="0"/>
            </w:pPr>
            <w:r>
              <w:rPr>
                <w:rFonts w:ascii="Arial" w:cs="Arial" w:eastAsia="Arial" w:hAnsi="Arial"/>
                <w:color w:val="1A2332"/>
                <w:sz w:val="20"/>
                <w:szCs w:val="20"/>
              </w:rPr>
              <w:t xml:space="preserve">Push notifications, SMS, in-app messages</w:t>
            </w:r>
          </w:p>
        </w:tc>
      </w:tr>
      <w:tr>
        <w:tc>
          <w:tcPr>
            <w:tcW w:type="dxa" w:w="4413"/>
            <w:tcBorders>
              <w:top w:val="single" w:color="D6E4F5" w:sz="1"/>
              <w:left w:val="single" w:color="D6E4F5" w:sz="1"/>
              <w:bottom w:val="single" w:color="D6E4F5" w:sz="1"/>
              <w:right w:val="single" w:color="D6E4F5" w:sz="1"/>
            </w:tcBorders>
            <w:shd w:fill="FFFFFF" w:val="clear"/>
            <w:tcMar>
              <w:top w:type="dxa" w:w="100"/>
              <w:left w:type="dxa" w:w="160"/>
              <w:bottom w:type="dxa" w:w="100"/>
              <w:right w:type="dxa" w:w="160"/>
            </w:tcMar>
          </w:tcPr>
          <w:p>
            <w:pPr>
              <w:spacing w:after="0" w:before="0"/>
            </w:pPr>
            <w:r>
              <w:rPr>
                <w:rFonts w:ascii="Arial" w:cs="Arial" w:eastAsia="Arial" w:hAnsi="Arial"/>
                <w:color w:val="1A2332"/>
                <w:sz w:val="20"/>
                <w:szCs w:val="20"/>
              </w:rPr>
              <w:t xml:space="preserve">Basic analytics instrumentation</w:t>
            </w:r>
          </w:p>
        </w:tc>
        <w:tc>
          <w:tcPr>
            <w:tcW w:type="dxa" w:w="4613"/>
            <w:tcBorders>
              <w:top w:val="single" w:color="D6E4F5" w:sz="1"/>
              <w:left w:val="single" w:color="D6E4F5" w:sz="1"/>
              <w:bottom w:val="single" w:color="D6E4F5" w:sz="1"/>
              <w:right w:val="single" w:color="D6E4F5" w:sz="1"/>
            </w:tcBorders>
            <w:shd w:fill="FFFFFF" w:val="clear"/>
            <w:tcMar>
              <w:top w:type="dxa" w:w="100"/>
              <w:left w:type="dxa" w:w="160"/>
              <w:bottom w:type="dxa" w:w="100"/>
              <w:right w:type="dxa" w:w="160"/>
            </w:tcMar>
          </w:tcPr>
          <w:p>
            <w:pPr>
              <w:spacing w:after="0" w:before="0"/>
            </w:pPr>
            <w:r>
              <w:rPr>
                <w:rFonts w:ascii="Arial" w:cs="Arial" w:eastAsia="Arial" w:hAnsi="Arial"/>
                <w:color w:val="1A2332"/>
                <w:sz w:val="20"/>
                <w:szCs w:val="20"/>
              </w:rPr>
              <w:t xml:space="preserve">Advanced BI dashboards and custom reporting</w:t>
            </w:r>
          </w:p>
        </w:tc>
      </w:tr>
      <w:tr>
        <w:tc>
          <w:tcPr>
            <w:tcW w:type="dxa" w:w="4413"/>
            <w:tcBorders>
              <w:top w:val="single" w:color="D6E4F5" w:sz="1"/>
              <w:left w:val="single" w:color="D6E4F5" w:sz="1"/>
              <w:bottom w:val="single" w:color="D6E4F5" w:sz="1"/>
              <w:right w:val="single" w:color="D6E4F5" w:sz="1"/>
            </w:tcBorders>
            <w:shd w:fill="F5F7FA" w:val="clear"/>
            <w:tcMar>
              <w:top w:type="dxa" w:w="100"/>
              <w:left w:type="dxa" w:w="160"/>
              <w:bottom w:type="dxa" w:w="100"/>
              <w:right w:type="dxa" w:w="160"/>
            </w:tcMar>
          </w:tcPr>
          <w:p>
            <w:pPr>
              <w:spacing w:after="0" w:before="0"/>
            </w:pPr>
            <w:r>
              <w:rPr>
                <w:rFonts w:ascii="Arial" w:cs="Arial" w:eastAsia="Arial" w:hAnsi="Arial"/>
                <w:color w:val="1A2332"/>
                <w:sz w:val="20"/>
                <w:szCs w:val="20"/>
              </w:rPr>
              <w:t xml:space="preserve">UK GDPR consent and privacy notice</w:t>
            </w:r>
          </w:p>
        </w:tc>
        <w:tc>
          <w:tcPr>
            <w:tcW w:type="dxa" w:w="4613"/>
            <w:tcBorders>
              <w:top w:val="single" w:color="D6E4F5" w:sz="1"/>
              <w:left w:val="single" w:color="D6E4F5" w:sz="1"/>
              <w:bottom w:val="single" w:color="D6E4F5" w:sz="1"/>
              <w:right w:val="single" w:color="D6E4F5" w:sz="1"/>
            </w:tcBorders>
            <w:shd w:fill="F5F7FA" w:val="clear"/>
            <w:tcMar>
              <w:top w:type="dxa" w:w="100"/>
              <w:left w:type="dxa" w:w="160"/>
              <w:bottom w:type="dxa" w:w="100"/>
              <w:right w:type="dxa" w:w="160"/>
            </w:tcMar>
          </w:tcPr>
          <w:p>
            <w:pPr>
              <w:spacing w:after="0" w:before="0"/>
            </w:pPr>
            <w:r>
              <w:rPr>
                <w:rFonts w:ascii="Arial" w:cs="Arial" w:eastAsia="Arial" w:hAnsi="Arial"/>
                <w:color w:val="1A2332"/>
                <w:sz w:val="20"/>
                <w:szCs w:val="20"/>
              </w:rPr>
              <w:t xml:space="preserve">Granular consent management platform</w:t>
            </w:r>
          </w:p>
        </w:tc>
      </w:tr>
      <w:tr>
        <w:tc>
          <w:tcPr>
            <w:tcW w:type="dxa" w:w="4413"/>
            <w:tcBorders>
              <w:top w:val="single" w:color="D6E4F5" w:sz="1"/>
              <w:left w:val="single" w:color="D6E4F5" w:sz="1"/>
              <w:bottom w:val="single" w:color="D6E4F5" w:sz="1"/>
              <w:right w:val="single" w:color="D6E4F5" w:sz="1"/>
            </w:tcBorders>
            <w:shd w:fill="FFFFFF" w:val="clear"/>
            <w:tcMar>
              <w:top w:type="dxa" w:w="100"/>
              <w:left w:type="dxa" w:w="160"/>
              <w:bottom w:type="dxa" w:w="100"/>
              <w:right w:type="dxa" w:w="160"/>
            </w:tcMar>
          </w:tcPr>
          <w:p>
            <w:pPr>
              <w:spacing w:after="0" w:before="0"/>
            </w:pPr>
            <w:r>
              <w:rPr>
                <w:rFonts w:ascii="Arial" w:cs="Arial" w:eastAsia="Arial" w:hAnsi="Arial"/>
                <w:color w:val="1A2332"/>
                <w:sz w:val="20"/>
                <w:szCs w:val="20"/>
              </w:rPr>
              <w:t xml:space="preserve">Error handling and user-facing messages</w:t>
            </w:r>
          </w:p>
        </w:tc>
        <w:tc>
          <w:tcPr>
            <w:tcW w:type="dxa" w:w="4613"/>
            <w:tcBorders>
              <w:top w:val="single" w:color="D6E4F5" w:sz="1"/>
              <w:left w:val="single" w:color="D6E4F5" w:sz="1"/>
              <w:bottom w:val="single" w:color="D6E4F5" w:sz="1"/>
              <w:right w:val="single" w:color="D6E4F5" w:sz="1"/>
            </w:tcBorders>
            <w:shd w:fill="FFFFFF" w:val="clear"/>
            <w:tcMar>
              <w:top w:type="dxa" w:w="100"/>
              <w:left w:type="dxa" w:w="160"/>
              <w:bottom w:type="dxa" w:w="100"/>
              <w:right w:type="dxa" w:w="160"/>
            </w:tcMar>
          </w:tcPr>
          <w:p>
            <w:pPr>
              <w:spacing w:after="0" w:before="0"/>
            </w:pPr>
            <w:r>
              <w:rPr>
                <w:rFonts w:ascii="Arial" w:cs="Arial" w:eastAsia="Arial" w:hAnsi="Arial"/>
                <w:color w:val="1A2332"/>
                <w:sz w:val="20"/>
                <w:szCs w:val="20"/>
              </w:rPr>
              <w:t xml:space="preserve">Detailed internal logging and alerting (can add post-launch)</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MVP Development UK</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long does MVP development take in the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 lean MVP takes 6–10 weeks. A standard MVP takes 8–14 weeks. An investor-ready MVP takes 10–16 weeks. The timeline depends on scope (ruthlessly restricted scope = faster delivery), team size (a dedicated 3-person team delivers faster than a part-time 1-person team), complexity (single integration vs complex multi-system architecture), and compliance requirements (regulated sectors add 2–6 weeks for compliance architecture).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the difference between an MVP and a prototype?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 prototype is typically a clickable mockup or rough demo — not working software. Users can preview the experience but can't actually use it. An MVP is production-quality software that real users can sign up for, use, and get value from. MVPs are instrumented to capture real user behaviour data. Prototypes test assumptions about UI and flow; MVPs test assumptions about product-market fit.</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I get Innovate UK funding for my MVP?</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if your MVP involves genuine technological innovation — not just implementing existing technology. Innovate UK Smart Grants (£25,000–£500,000) are the most common route for software startups. The application requires a strong technical case and evidence of commercial potential. ClickMasters has supported technical sections of successful Innovate UK applications. We're happy to advise on whether your project is a good fit before you invest time in an application.</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technology stack do you use for MVPs?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We recommend: React or Next.js (frontend), Node.js or Python/FastAPI (backend), PostgreSQL (database), AWS eu-west-2 or Azure UK South (cloud — for UK GDPR data residency), and React Native if mobile is needed. These are proven, well-supported choices with strong UK developer talent pools. We avoid obscure frameworks that become maintenance liabilities as your team grows. Every technology recommendation comes with a written justification.</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Should I build an MVP or buy an off-the-shelf product?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Build when: your competitive advantage depends on the software itself (it's your product), existing tools require you to work around their limitations significantly, you need full data control for UK GDPR reasons, or the 3-year SaaS licence cost exceeds the build cost. Buy (or use low-code) when: existing tools do 90%+ of what you need without significant workarounds, speed-to-market matters more than customisation, and you're validating a business model before committing to a full build.</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should my MVP cost if I'm applying for Innovate UK funding?</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Innovate UK typically funds 35–70% of project costs depending on the grant type. Your total project cost (your matched funding + the grant) should reflect a genuine, credible budget for the scope described. Under-budgeting raises red flags with assessors. A typical Innovate UK Smart Grant project has total costs of £50,000–£500,000, with the grant covering 35–70%. ClickMasters can help you structure a credible cost case as part of supporting your application.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Your MVP — 8–12 Weeks, From £12,000</w:t>
            </w:r>
          </w:p>
          <w:p>
            <w:pPr>
              <w:spacing w:after="160" w:before="0"/>
            </w:pPr>
            <w:r>
              <w:rPr>
                <w:rFonts w:ascii="Arial" w:cs="Arial" w:eastAsia="Arial" w:hAnsi="Arial"/>
                <w:color w:val="BDD0E8"/>
                <w:sz w:val="22"/>
                <w:szCs w:val="22"/>
              </w:rPr>
              <w:t xml:space="preserve">Book a free 45-minute Product Discovery call. We'll review your idea, recommend the right MVP scope, and give you a realistic timeline and cost estimate.</w:t>
            </w:r>
          </w:p>
          <w:p>
            <w:pPr>
              <w:spacing w:after="0" w:before="0"/>
            </w:pPr>
            <w:r>
              <w:rPr>
                <w:rFonts w:ascii="Arial" w:cs="Arial" w:eastAsia="Arial" w:hAnsi="Arial"/>
                <w:b/>
                <w:bCs/>
                <w:color w:val="E8612A"/>
                <w:sz w:val="22"/>
                <w:szCs w:val="22"/>
              </w:rPr>
              <w:t xml:space="preserve">→ Book Free MVP Consultation: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Product Team</w:t>
            </w:r>
          </w:p>
          <w:p>
            <w:pPr>
              <w:spacing w:after="80" w:before="0"/>
            </w:pPr>
            <w:r>
              <w:rPr>
                <w:rFonts w:ascii="Arial" w:cs="Arial" w:eastAsia="Arial" w:hAnsi="Arial"/>
                <w:b/>
                <w:bCs/>
                <w:color w:val="E8612A"/>
                <w:sz w:val="20"/>
                <w:szCs w:val="20"/>
              </w:rPr>
              <w:t xml:space="preserve">MVP development specialists — 50+ UK product builds from pre-seed to Series A</w:t>
            </w:r>
          </w:p>
          <w:p>
            <w:pPr>
              <w:spacing w:after="0" w:before="0"/>
            </w:pPr>
            <w:r>
              <w:rPr>
                <w:rFonts w:ascii="Arial" w:cs="Arial" w:eastAsia="Arial" w:hAnsi="Arial"/>
                <w:color w:val="1A2332"/>
                <w:sz w:val="20"/>
                <w:szCs w:val="20"/>
              </w:rPr>
              <w:t xml:space="preserve">This guide reflects our direct experience building MVPs for UK startups and scaleups. We have delivered products for founders at pre-seed stage through to Series A, across FinTech, HealthTech, EdTech, PropTech, and eCommerce. Our process is based on Lean Startup principles adapted for UK compliance requirements.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JSON-LD Schema: Service + FAQPage + BreadcrumbList | Related: /cost-mvp-development-uk/ | /rd-tax-credits-software-development/ | /innovate-uk-grant-software/ | /fintech-mvp-development/</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abstractNum w:abstractNumId="5"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MVP Development UK — Launch Your Minimum Viable Product in 8–12 Weeks</dc:title>
  <dc:creator>Un-named</dc:creator>
  <cp:lastModifiedBy>Un-named</cp:lastModifiedBy>
  <cp:revision>1</cp:revision>
  <dcterms:created xsi:type="dcterms:W3CDTF">2026-05-20T14:44:14.172Z</dcterms:created>
  <dcterms:modified xsi:type="dcterms:W3CDTF">2026-05-20T14:44:14.172Z</dcterms:modified>
</cp:coreProperties>
</file>

<file path=docProps/custom.xml><?xml version="1.0" encoding="utf-8"?>
<Properties xmlns="http://schemas.openxmlformats.org/officeDocument/2006/custom-properties" xmlns:vt="http://schemas.openxmlformats.org/officeDocument/2006/docPropsVTypes"/>
</file>