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Vocational Training Platform — UK Apprenticeship Provider — ClickMasters Case Study
META DESC: A UK apprenticeship training provider delivering Level 2–5 apprenticeships to 2,400 apprentices across 180 emp...
SLUG: /case-studies/edtech-vocational-training-apprenticeship/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Vocational Training Platform — UK Apprenticeship Provider</w:t>
      </w:r>
    </w:p>
    <w:p>
      <w:pPr>
        <w:spacing w:after="60" w:before="60"/>
      </w:pPr>
    </w:p>
    <w:p>
      <w:pPr>
        <w:pStyle w:val="Heading1"/>
        <w:spacing w:after="160" w:before="360"/>
      </w:pPr>
      <w:r>
        <w:rPr>
          <w:rFonts w:ascii="Arial" w:cs="Arial" w:eastAsia="Arial" w:hAnsi="Arial"/>
          <w:b/>
          <w:bCs/>
          <w:color w:val="0B1F3A"/>
          <w:sz w:val="40"/>
          <w:szCs w:val="40"/>
        </w:rPr>
        <w:t xml:space="preserve">EdTech Vocational Training Platform — UK Apprenticeship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FE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FE | Tech: Next.js, Node.js/Fastify, PostgreSQL, ESFA ILR API, PDF generation (WeasyPrint), AWS eu-west-2 | Compliance: ESFA Apprenticeship Funding Rules, ILR reporting standards, UK GDPR, Cyber Essentials, ICO registration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apprenticeship training provider delivering Level 2–5 apprenticeships to 2,400 apprentices across 180 employer partners needed to replace their legacy e-portfolio and progress tracking system. ESFA (Education and Skills Funding Agency) digital apprenticeship data requirements, Ofsted ETF (Education and Training Foundation) digital learning standards, UK GDPR for apprentice personal and performance data, and employer portal access for 180 companies were the requirements.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ESFA Data Compliance: </w:t>
      </w:r>
      <w:r>
        <w:rPr>
          <w:rFonts w:ascii="Arial" w:cs="Arial" w:eastAsia="Arial" w:hAnsi="Arial"/>
          <w:b w:val="false"/>
          <w:bCs w:val="false"/>
          <w:i w:val="false"/>
          <w:iCs w:val="false"/>
          <w:color w:val="1A2332"/>
          <w:sz w:val="22"/>
          <w:szCs w:val="22"/>
        </w:rPr>
        <w:t xml:space="preserve">ESFA Apprenticeship Service: apprenticeship starts, progress, and completions must be reported to the Apprenticeship Service data platform. Individual Learning Record (ILR) submission via ESFA ILR Specification. Automated ILR data extraction from platform. On-programme assessment (OPA) tracking: 20% off-the-job training recording per apprentice (ESFA audit requirement).</w:t>
      </w:r>
    </w:p>
    <w:p>
      <w:pPr>
        <w:spacing w:after="160" w:before="100"/>
      </w:pPr>
      <w:r>
        <w:rPr>
          <w:rFonts w:ascii="Arial" w:cs="Arial" w:eastAsia="Arial" w:hAnsi="Arial"/>
          <w:b/>
          <w:bCs/>
          <w:i w:val="false"/>
          <w:iCs w:val="false"/>
          <w:color w:val="E8612A"/>
          <w:sz w:val="22"/>
          <w:szCs w:val="22"/>
        </w:rPr>
        <w:t xml:space="preserve">e-Portfolio and Progress Tracking: </w:t>
      </w:r>
      <w:r>
        <w:rPr>
          <w:rFonts w:ascii="Arial" w:cs="Arial" w:eastAsia="Arial" w:hAnsi="Arial"/>
          <w:b w:val="false"/>
          <w:bCs w:val="false"/>
          <w:i w:val="false"/>
          <w:iCs w:val="false"/>
          <w:color w:val="1A2332"/>
          <w:sz w:val="22"/>
          <w:szCs w:val="22"/>
        </w:rPr>
        <w:t xml:space="preserve">Digital portfolio: evidence upload (images, documents, reflections), mentor/trainer feedback per portfolio entry, competency mapping against apprenticeship standard (Knowledge, Skills, Behaviours for each standard unit). Progress RAG status: automated calculation from portfolio completion vs programme timeline. End-Point Assessment (EPA) readiness dashboard: percentage of standard units evidenced.</w:t>
      </w:r>
    </w:p>
    <w:p>
      <w:pPr>
        <w:spacing w:after="160" w:before="100"/>
      </w:pPr>
      <w:r>
        <w:rPr>
          <w:rFonts w:ascii="Arial" w:cs="Arial" w:eastAsia="Arial" w:hAnsi="Arial"/>
          <w:b/>
          <w:bCs/>
          <w:i w:val="false"/>
          <w:iCs w:val="false"/>
          <w:color w:val="E8612A"/>
          <w:sz w:val="22"/>
          <w:szCs w:val="22"/>
        </w:rPr>
        <w:t xml:space="preserve">Employer Partner Portal: </w:t>
      </w:r>
      <w:r>
        <w:rPr>
          <w:rFonts w:ascii="Arial" w:cs="Arial" w:eastAsia="Arial" w:hAnsi="Arial"/>
          <w:b w:val="false"/>
          <w:bCs w:val="false"/>
          <w:i w:val="false"/>
          <w:iCs w:val="false"/>
          <w:color w:val="1A2332"/>
          <w:sz w:val="22"/>
          <w:szCs w:val="22"/>
        </w:rPr>
        <w:t xml:space="preserve">Employer portal: line manager access to their apprentices' progress (not other employers' apprentices). Progress reports: automated monthly PDF to employer HR contact. Off-the-job hours tracking: employer-confirmed training hours (ESFA 20% requirement). Skills gap analysis: employer can flag in-work skill development areas against apprenticeship standard.</w:t>
      </w:r>
    </w:p>
    <w:p>
      <w:pPr>
        <w:spacing w:after="160" w:before="100"/>
      </w:pPr>
      <w:r>
        <w:rPr>
          <w:rFonts w:ascii="Arial" w:cs="Arial" w:eastAsia="Arial" w:hAnsi="Arial"/>
          <w:b/>
          <w:bCs/>
          <w:i w:val="false"/>
          <w:iCs w:val="false"/>
          <w:color w:val="E8612A"/>
          <w:sz w:val="22"/>
          <w:szCs w:val="22"/>
        </w:rPr>
        <w:t xml:space="preserve">UK GDPR for Apprentice Data: </w:t>
      </w:r>
      <w:r>
        <w:rPr>
          <w:rFonts w:ascii="Arial" w:cs="Arial" w:eastAsia="Arial" w:hAnsi="Arial"/>
          <w:b w:val="false"/>
          <w:bCs w:val="false"/>
          <w:i w:val="false"/>
          <w:iCs w:val="false"/>
          <w:color w:val="1A2332"/>
          <w:sz w:val="22"/>
          <w:szCs w:val="22"/>
        </w:rPr>
        <w:t xml:space="preserve">Apprentice data includes: personal details, employment information, performance data, attendance, and assessment results. Lawful basis: legitimate interest for training delivery. ESFA data sharing: Article 28 DPA with ESFA (government body) required. Employer data sharing: employer sees only their own apprentices' data. Retention: 7 years post-completion (ESFA audit requirement).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£79,000 — under budget. ILR submission: automated — previously 3 days manual per return. ESFA funding audit: zero findings. Ofsted inspection: digital learning provision cited as area of strength. Employer satisfaction: 4.4/5 (legacy system: 2.8/5). Apprentice achievement rate: 84% (national average: 68%). 20% off-the-job compliance: 97% of apprentices within threshold (was 71%).</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20% off-the-job compliance going from 71% to 97% is the one that matters for our ESFA contract. ESFA can withdraw funding for providers below threshold. The Ofsted inspector specifically asked about the digital learning platform — it was cited in the inspection report." — Principal, UK Apprenticeship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ESFA ILR API, PDF generation (WeasyPrint),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ESFA Apprenticeship Funding Rules, ILR reporting standards, UK GDPR, Cyber Essentials, ICO registration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apprenticeship platform uk, esfa digital learning uk, vocational training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2026-05-26T14:27:31.636Z</dcterms:created>
  <dcterms:modified xsi:type="dcterms:W3CDTF">2026-05-26T14:27:31.636Z</dcterms:modified>
</cp:coreProperties>
</file>

<file path=docProps/custom.xml><?xml version="1.0" encoding="utf-8"?>
<Properties xmlns="http://schemas.openxmlformats.org/officeDocument/2006/custom-properties" xmlns:vt="http://schemas.openxmlformats.org/officeDocument/2006/docPropsVTypes"/>
</file>