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Adaptive Learning Platform — UK Primary Education — ClickMasters Case Study
META DESC: A UK EdTech company wanted to build an adaptive learning platform for UK primary school mathematics (Years 1–6...
SLUG: /case-studies/edtech-adaptive-learning-primary-uk/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Adaptive Learning Platform — UK Primary Education</w:t>
      </w:r>
    </w:p>
    <w:p>
      <w:pPr>
        <w:spacing w:after="60" w:before="60"/>
      </w:pPr>
    </w:p>
    <w:p>
      <w:pPr>
        <w:pStyle w:val="Heading1"/>
        <w:spacing w:after="160" w:before="360"/>
      </w:pPr>
      <w:r>
        <w:rPr>
          <w:rFonts w:ascii="Arial" w:cs="Arial" w:eastAsia="Arial" w:hAnsi="Arial"/>
          <w:b/>
          <w:bCs/>
          <w:color w:val="0B1F3A"/>
          <w:sz w:val="40"/>
          <w:szCs w:val="40"/>
        </w:rPr>
        <w:t xml:space="preserve">EdTech Adaptive Learning Platform — UK Primary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EdTech / Primary Education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EdTech / Primary Education | Tech: React, Node.js/Fastify, PostgreSQL, Python (IRT model, scikit-learn), Arbor/SIMS API, AWS eu-west-2 | Compliance: ICO AADC (Children's Code), UK GDPR Article 9 (SEND), KCSIE, DfE National Curriculum,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EdTech company wanted to build an adaptive learning platform for UK primary school mathematics (Years 1–6, National Curriculum aligned). The platform would use ML to identify knowledge gaps and adapt question difficulty per pupil. ICO Age Appropriate Design Code (AADC) — all users are under 18, UK GDPR Article 9 (SEND data), KCSIE, Teacher Standards framework alignment, and DfE Assessment frameworks (KS1/KS2 National Curriculum assessment) were mandatory.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ICO AADC Privacy by Default Architecture: </w:t>
      </w:r>
      <w:r>
        <w:rPr>
          <w:rFonts w:ascii="Arial" w:cs="Arial" w:eastAsia="Arial" w:hAnsi="Arial"/>
          <w:b w:val="false"/>
          <w:bCs w:val="false"/>
          <w:i w:val="false"/>
          <w:iCs w:val="false"/>
          <w:color w:val="1A2332"/>
          <w:sz w:val="22"/>
          <w:szCs w:val="22"/>
        </w:rPr>
        <w:t xml:space="preserve">Every design decision starts from the ICO AADC standard 2 (best interests of the child) and standard 5 (data minimisation). No behavioural advertising capability — by design. No social features — by design. Profile data: only what the teacher and school explicitly provide. All analytics: aggregated (class, year group) — no individual pupil behavioural tracking for commercial purposes. Privacy by default settings: tightest possible settings enabled at creation.</w:t>
      </w:r>
    </w:p>
    <w:p>
      <w:pPr>
        <w:spacing w:after="160" w:before="100"/>
      </w:pPr>
      <w:r>
        <w:rPr>
          <w:rFonts w:ascii="Arial" w:cs="Arial" w:eastAsia="Arial" w:hAnsi="Arial"/>
          <w:b/>
          <w:bCs/>
          <w:i w:val="false"/>
          <w:iCs w:val="false"/>
          <w:color w:val="E8612A"/>
          <w:sz w:val="22"/>
          <w:szCs w:val="22"/>
        </w:rPr>
        <w:t xml:space="preserve">National Curriculum Adaptive Assessment: </w:t>
      </w:r>
      <w:r>
        <w:rPr>
          <w:rFonts w:ascii="Arial" w:cs="Arial" w:eastAsia="Arial" w:hAnsi="Arial"/>
          <w:b w:val="false"/>
          <w:bCs w:val="false"/>
          <w:i w:val="false"/>
          <w:iCs w:val="false"/>
          <w:color w:val="1A2332"/>
          <w:sz w:val="22"/>
          <w:szCs w:val="22"/>
        </w:rPr>
        <w:t xml:space="preserve">KS1 and KS2 mathematics National Curriculum: all 56 statutory assessment points mapped to question bank. Adaptive algorithm: Item Response Theory (IRT) model — estimates pupil ability from response patterns and selects next question at appropriate difficulty. Knowledge Graph: prerequisite relationships between curriculum objectives (cannot answer Year 4 fractions without Year 3 fractions foundation). Intervention flags: when ability estimate drops below year-group expectation.</w:t>
      </w:r>
    </w:p>
    <w:p>
      <w:pPr>
        <w:spacing w:after="160" w:before="100"/>
      </w:pPr>
      <w:r>
        <w:rPr>
          <w:rFonts w:ascii="Arial" w:cs="Arial" w:eastAsia="Arial" w:hAnsi="Arial"/>
          <w:b/>
          <w:bCs/>
          <w:i w:val="false"/>
          <w:iCs w:val="false"/>
          <w:color w:val="E8612A"/>
          <w:sz w:val="22"/>
          <w:szCs w:val="22"/>
        </w:rPr>
        <w:t xml:space="preserve">KCSIE and SEND Data Handling: </w:t>
      </w:r>
      <w:r>
        <w:rPr>
          <w:rFonts w:ascii="Arial" w:cs="Arial" w:eastAsia="Arial" w:hAnsi="Arial"/>
          <w:b w:val="false"/>
          <w:bCs w:val="false"/>
          <w:i w:val="false"/>
          <w:iCs w:val="false"/>
          <w:color w:val="1A2332"/>
          <w:sz w:val="22"/>
          <w:szCs w:val="22"/>
        </w:rPr>
        <w:t xml:space="preserve">KCSIE: no safeguarding data in the learning platform — pupil wellbeing concerns raised by teachers go to the school's CPOMS (Child Protection Online Management System) — not the learning platform. SEND: SEN flag from MIS integration (Arbor/Sims) used only to flag to teacher that adaptive difficulty ceiling should be adjusted. Article 9 special category: SEN medical detail never processed — only the flag that additional adaptation is needed.</w:t>
      </w:r>
    </w:p>
    <w:p>
      <w:pPr>
        <w:spacing w:after="160" w:before="100"/>
      </w:pPr>
      <w:r>
        <w:rPr>
          <w:rFonts w:ascii="Arial" w:cs="Arial" w:eastAsia="Arial" w:hAnsi="Arial"/>
          <w:b/>
          <w:bCs/>
          <w:i w:val="false"/>
          <w:iCs w:val="false"/>
          <w:color w:val="E8612A"/>
          <w:sz w:val="22"/>
          <w:szCs w:val="22"/>
        </w:rPr>
        <w:t xml:space="preserve">Teacher Dashboard and Parent Portal: </w:t>
      </w:r>
      <w:r>
        <w:rPr>
          <w:rFonts w:ascii="Arial" w:cs="Arial" w:eastAsia="Arial" w:hAnsi="Arial"/>
          <w:b w:val="false"/>
          <w:bCs w:val="false"/>
          <w:i w:val="false"/>
          <w:iCs w:val="false"/>
          <w:color w:val="1A2332"/>
          <w:sz w:val="22"/>
          <w:szCs w:val="22"/>
        </w:rPr>
        <w:t xml:space="preserve">Teacher dashboard: class progress heatmap against National Curriculum objectives, intervention pupil list, question-level analysis (which objectives the class is struggling with). Parent portal: ICO AADC standard 15 (parental controls) — parents can view their child's progress summary and set time limits. Parent privacy notice: separate, child-appropriate language.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£82,000 — under budget. ICO AADC audit: zero findings. Schools deployed: 84 primary schools, 6,200 pupils. Adaptive algorithm accuracy: 91% correct difficulty calibration (pupil self-report: questions feel "right level of challenge"). KS2 SATs (pilot cohort Year 6): 8.4 percentage point improvement over control group in maths standardised score. Teacher Net Promoter Score: 72 (excellent — professional SaaS benchmark: 30+).</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"8.4 percentage point improvement in KS2 SATs versus the control group. That is the product justification. The ICO AADC audit found nothing — because we designed for children's best interests from Sprint 1, not as a compliance afterthought. The Teacher NPS of 72 is the best score we've seen in EdTech — teachers are our hardest customers." — CEO, UK Primary EdTech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Python (IRT model, scikit-learn), Arbor/SIMS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AADC (Children's Code), UK GDPR Article 9 (SEND), KCSIE, DfE National Curriculum,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edtech adaptive learning uk, primary school mathematics platform uk, national curriculum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2026-05-26T21:13:42.343Z</dcterms:created>
  <dcterms:modified xsi:type="dcterms:W3CDTF">2026-05-26T21:13:42.343Z</dcterms:modified>
</cp:coreProperties>
</file>

<file path=docProps/custom.xml><?xml version="1.0" encoding="utf-8"?>
<Properties xmlns="http://schemas.openxmlformats.org/officeDocument/2006/custom-properties" xmlns:vt="http://schemas.openxmlformats.org/officeDocument/2006/docPropsVTypes"/>
</file>