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Legacy Modernisation for RetailTech UK | ClickMasters
META DESC: Legacy Modernisation for UK RetailTech. UK GDPR. £25,000–£150,000.
SLUG: /retailtech-legacy-modernisation/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RetailTech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RetailTech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Legacy Modernisation for RetailTech</w:t>
      </w:r>
    </w:p>
    <w:p>
      <w:pPr>
        <w:spacing w:after="60" w:before="60"/>
      </w:pPr>
    </w:p>
    <w:p>
      <w:pPr>
        <w:pStyle w:val="Heading1"/>
        <w:spacing w:after="160" w:before="360"/>
      </w:pPr>
      <w:r>
        <w:rPr>
          <w:rFonts w:ascii="Arial" w:cs="Arial" w:eastAsia="Arial" w:hAnsi="Arial"/>
          <w:b/>
          <w:bCs/>
          <w:color w:val="0B1F3A"/>
          <w:sz w:val="40"/>
          <w:szCs w:val="40"/>
        </w:rPr>
        <w:t xml:space="preserve">Legacy Modernisation for UK RetailTech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RetailTech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£25,000–£150,000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Legacy Modernisation for UK RetailTech businesses with UK GDPR,  PECR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Legacy Modernisation for RetailTech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Legacy eCommerce to Headless Architecture: </w:t>
      </w:r>
      <w:r>
        <w:rPr>
          <w:rFonts w:ascii="Arial" w:cs="Arial" w:eastAsia="Arial" w:hAnsi="Arial"/>
          <w:b w:val="false"/>
          <w:bCs w:val="false"/>
          <w:i w:val="false"/>
          <w:iCs w:val="false"/>
          <w:color w:val="1A2332"/>
          <w:sz w:val="22"/>
          <w:szCs w:val="22"/>
        </w:rPr>
        <w:t xml:space="preserve">UK retail legacy modernisation most commonly involves: Magento 1 (EOL 2022 — security risk), legacy WooCommerce with years of unmanaged plugins (technical debt and security vulnerabilities), bespoke PHP monoliths built 2008–2015, or Hybris/SAP Commerce platforms that are over-engineered for current business size. Strangler Fig to headless: Next.js storefront consuming existing product catalogue via API, progressively migrating to modern commerce engine.</w:t>
      </w:r>
    </w:p>
    <w:p>
      <w:pPr>
        <w:spacing w:after="60" w:before="60"/>
      </w:pPr>
    </w:p>
    <w:p>
      <w:pPr>
        <w:spacing w:after="160" w:before="100"/>
      </w:pPr>
      <w:r>
        <w:rPr>
          <w:rFonts w:ascii="Arial" w:cs="Arial" w:eastAsia="Arial" w:hAnsi="Arial"/>
          <w:b/>
          <w:bCs/>
          <w:i w:val="false"/>
          <w:iCs w:val="false"/>
          <w:color w:val="E8612A"/>
          <w:sz w:val="22"/>
          <w:szCs w:val="22"/>
        </w:rPr>
        <w:t xml:space="preserve">UK Consumer Rights Act in Legacy Replacement: </w:t>
      </w:r>
      <w:r>
        <w:rPr>
          <w:rFonts w:ascii="Arial" w:cs="Arial" w:eastAsia="Arial" w:hAnsi="Arial"/>
          <w:b w:val="false"/>
          <w:bCs w:val="false"/>
          <w:i w:val="false"/>
          <w:iCs w:val="false"/>
          <w:color w:val="1A2332"/>
          <w:sz w:val="22"/>
          <w:szCs w:val="22"/>
        </w:rPr>
        <w:t xml:space="preserve">Legacy eCommerce replacement is the opportunity to implement Consumer Rights Act 2015 compliance correctly: 14-day cancellation right (digital tracking from order creation), digital goods provision guarantee (immediate delivery at purchase), returns journey with CRA statutory grounds, and complaint pathway. Legacy systems often have these implemented incompletely or via manual processes.</w:t>
      </w:r>
    </w:p>
    <w:p>
      <w:pPr>
        <w:spacing w:after="60" w:before="60"/>
      </w:pPr>
    </w:p>
    <w:p>
      <w:pPr>
        <w:spacing w:after="160" w:before="100"/>
      </w:pPr>
      <w:r>
        <w:rPr>
          <w:rFonts w:ascii="Arial" w:cs="Arial" w:eastAsia="Arial" w:hAnsi="Arial"/>
          <w:b/>
          <w:bCs/>
          <w:i w:val="false"/>
          <w:iCs w:val="false"/>
          <w:color w:val="E8612A"/>
          <w:sz w:val="22"/>
          <w:szCs w:val="22"/>
        </w:rPr>
        <w:t xml:space="preserve">Loyalty Programme Data Migration: </w:t>
      </w:r>
      <w:r>
        <w:rPr>
          <w:rFonts w:ascii="Arial" w:cs="Arial" w:eastAsia="Arial" w:hAnsi="Arial"/>
          <w:b w:val="false"/>
          <w:bCs w:val="false"/>
          <w:i w:val="false"/>
          <w:iCs w:val="false"/>
          <w:color w:val="1A2332"/>
          <w:sz w:val="22"/>
          <w:szCs w:val="22"/>
        </w:rPr>
        <w:t xml:space="preserve">UK retail legacy modernisation frequently involves migrating loyalty programme data — points balances, tier history, transaction history. UK GDPR: loyalty programme data is personal data. Migration DPIA required. Lawful basis for loyalty: contract performance. Data minimisation: migrate only active accounts (points balances &gt; 0, account active in last 12 months). Inactive accounts: right to be forgotten applies — do not migrate.</w:t>
      </w:r>
    </w:p>
    <w:p>
      <w:pPr>
        <w:spacing w:after="60" w:before="60"/>
      </w:pPr>
    </w:p>
    <w:p>
      <w:pPr>
        <w:spacing w:after="160" w:before="100"/>
      </w:pPr>
      <w:r>
        <w:rPr>
          <w:rFonts w:ascii="Arial" w:cs="Arial" w:eastAsia="Arial" w:hAnsi="Arial"/>
          <w:b/>
          <w:bCs/>
          <w:i w:val="false"/>
          <w:iCs w:val="false"/>
          <w:color w:val="E8612A"/>
          <w:sz w:val="22"/>
          <w:szCs w:val="22"/>
        </w:rPr>
        <w:t xml:space="preserve">SEO Preservation in Retail Legacy Migration: </w:t>
      </w:r>
      <w:r>
        <w:rPr>
          <w:rFonts w:ascii="Arial" w:cs="Arial" w:eastAsia="Arial" w:hAnsi="Arial"/>
          <w:b w:val="false"/>
          <w:bCs w:val="false"/>
          <w:i w:val="false"/>
          <w:iCs w:val="false"/>
          <w:color w:val="1A2332"/>
          <w:sz w:val="22"/>
          <w:szCs w:val="22"/>
        </w:rPr>
        <w:t xml:space="preserve">Retail legacy modernisation risk: SEO value built over years in URL structure can be destroyed by migration. Pre-migration: crawl and map all URLs generating organic traffic. Post-migration: 301 redirects from all legacy URLs to new URL structure. Canonical tags on new URLs. Re-submission to Google Search Console. Monitoring: Google Search Console impressions and clicks for 12 weeks post-launch — respond quickly to any drops.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PECR, Consumer Rights Act, PCI-DSS, ICO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RetailTech Legacy Modernisation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£25,000–£150,000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migrate a Magento 1 eCommerce site without losing SEO?</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SEO preservation in Magento 1 migration: comprehensive pre-migration crawl (Screaming Frog — every URL, every H1, every canonical, every meta description), 301 redirect map (legacy URL → new URL — every page with organic traffic), XML sitemap submission post-migration, Google Search Console monitoring (impressions/clicks 12 weeks post-launch), and Core Web Vitals target (LCP &lt; 2.5s — often dramatically improved vs Magento 1).</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legacy retail eCommerce modernisation take?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Scope-dependent: simple Magento 1 to Next.js headless (same product catalogue, same functionality): 12–16 weeks. Complex migration (loyalty programme, custom pricing, multi-site, ERP integration): 20–30 weeks. ClickMasters starts with a Technical Discovery (£3,500–£8,000) to map all customisations and provide an accurate fixed price.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RetailTech Software Development UK: /ecommerce-software-development/</w:t>
      </w:r>
    </w:p>
    <w:p>
      <w:pPr>
        <w:pStyle w:val="ListParagraph"/>
        <w:numPr>
          <w:ilvl w:val="0"/>
          <w:numId w:val="2"/>
        </w:numPr>
        <w:spacing w:after="60" w:before="60"/>
      </w:pPr>
      <w:r>
        <w:rPr>
          <w:rFonts w:ascii="Arial" w:cs="Arial" w:eastAsia="Arial" w:hAnsi="Arial"/>
          <w:color w:val="1A4A8A"/>
          <w:sz w:val="22"/>
          <w:szCs w:val="22"/>
        </w:rPr>
        <w:t xml:space="preserve">Legacy Modernisation UK: /legacy-modernisation/</w:t>
      </w:r>
    </w:p>
    <w:p>
      <w:pPr>
        <w:pStyle w:val="ListParagraph"/>
        <w:numPr>
          <w:ilvl w:val="0"/>
          <w:numId w:val="2"/>
        </w:numPr>
        <w:spacing w:after="60" w:before="60"/>
      </w:pPr>
      <w:r>
        <w:rPr>
          <w:rFonts w:ascii="Arial" w:cs="Arial" w:eastAsia="Arial" w:hAnsi="Arial"/>
          <w:color w:val="1A4A8A"/>
          <w:sz w:val="22"/>
          <w:szCs w:val="22"/>
        </w:rPr>
        <w:t xml:space="preserve">eCommerce Microservices UK: /ecommerce-microservices-architecture/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RetailTech Legacy Modernisation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RetailTech Team</w:t>
            </w:r>
          </w:p>
          <w:p>
            <w:pPr>
              <w:spacing w:after="80" w:before="0"/>
            </w:pPr>
            <w:r>
              <w:rPr>
                <w:rFonts w:ascii="Arial" w:cs="Arial" w:eastAsia="Arial" w:hAnsi="Arial"/>
                <w:b/>
                <w:bCs/>
                <w:color w:val="E8612A"/>
                <w:sz w:val="20"/>
                <w:szCs w:val="20"/>
              </w:rPr>
              <w:t xml:space="preserve">RetailTech specialists</w:t>
            </w:r>
          </w:p>
          <w:p>
            <w:pPr>
              <w:spacing w:after="0" w:before="0"/>
            </w:pPr>
            <w:r>
              <w:rPr>
                <w:rFonts w:ascii="Arial" w:cs="Arial" w:eastAsia="Arial" w:hAnsi="Arial"/>
                <w:color w:val="1A2332"/>
                <w:sz w:val="20"/>
                <w:szCs w:val="20"/>
              </w:rPr>
              <w:t xml:space="preserve">Delivering Legacy Modernisation for UK RetailTech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"retailtech legacy modernisation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2026-05-28T08:51:40.226Z</dcterms:created>
  <dcterms:modified xsi:type="dcterms:W3CDTF">2026-05-28T08:51:40.226Z</dcterms:modified>
</cp:coreProperties>
</file>

<file path=docProps/custom.xml><?xml version="1.0" encoding="utf-8"?>
<Properties xmlns="http://schemas.openxmlformats.org/officeDocument/2006/custom-properties" xmlns:vt="http://schemas.openxmlformats.org/officeDocument/2006/docPropsVTypes"/>
</file>