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FinTech UK | ClickMasters
META DESC: Legacy Modernisation for UK FinTech. FCA COBS. £35,000–£200,000.
SLUG: /fintech-legacy-modernisation/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FinTech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FinTech — FCA 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FinTech businesses with FCA COBS,  FCA PS21/3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FinTech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Operational Resilience and Legacy Systems: </w:t>
      </w:r>
      <w:r>
        <w:rPr>
          <w:rFonts w:ascii="Arial" w:cs="Arial" w:eastAsia="Arial" w:hAnsi="Arial"/>
          <w:b w:val="false"/>
          <w:bCs w:val="false"/>
          <w:i w:val="false"/>
          <w:iCs w:val="false"/>
          <w:color w:val="1A2332"/>
          <w:sz w:val="22"/>
          <w:szCs w:val="22"/>
        </w:rPr>
        <w:t xml:space="preserve">FCA PS21/3 (Operational Resilience): firms must map Important Business Services (IBS) to their supporting technology and identify single points of failure. Legacy systems are the primary operational resilience risk in UK FinTech — a single-server 2008 Java application serving a critical payment IBS is an unacceptable resilience posture. Legacy modernisation as PS21/3 compliance: modernise systems that support IBSs to: multi-AZ deployment, automated failover, tested DR, and Impact Tolerance targets met.</w:t>
      </w:r>
    </w:p>
    <w:p>
      <w:pPr>
        <w:spacing w:after="60" w:before="60"/>
      </w:pPr>
    </w:p>
    <w:p>
      <w:pPr>
        <w:spacing w:after="160" w:before="100"/>
      </w:pPr>
      <w:r>
        <w:rPr>
          <w:rFonts w:ascii="Arial" w:cs="Arial" w:eastAsia="Arial" w:hAnsi="Arial"/>
          <w:b/>
          <w:bCs/>
          <w:i w:val="false"/>
          <w:iCs w:val="false"/>
          <w:color w:val="E8612A"/>
          <w:sz w:val="22"/>
          <w:szCs w:val="22"/>
        </w:rPr>
        <w:t xml:space="preserve">COBOL and Legacy Mainframe to Cloud Migration: </w:t>
      </w:r>
      <w:r>
        <w:rPr>
          <w:rFonts w:ascii="Arial" w:cs="Arial" w:eastAsia="Arial" w:hAnsi="Arial"/>
          <w:b w:val="false"/>
          <w:bCs w:val="false"/>
          <w:i w:val="false"/>
          <w:iCs w:val="false"/>
          <w:color w:val="1A2332"/>
          <w:sz w:val="22"/>
          <w:szCs w:val="22"/>
        </w:rPr>
        <w:t xml:space="preserve">UK banking legacy: IBM zSeries mainframes running COBOL are common in the largest UK banks. ClickMasters approach: Strangler Fig for mainframe migration — new cloud services receive new traffic, legacy mainframe serves existing accounts, gradual account migration to cloud platform. COBOL knowledge transfer: document COBOL business logic (often 30+ years of encoded business rules) before migration. Never migrate COBOL without a comprehensive business logic inventory — the code is the documentation.</w:t>
      </w:r>
    </w:p>
    <w:p>
      <w:pPr>
        <w:spacing w:after="60" w:before="60"/>
      </w:pPr>
    </w:p>
    <w:p>
      <w:pPr>
        <w:spacing w:after="160" w:before="100"/>
      </w:pPr>
      <w:r>
        <w:rPr>
          <w:rFonts w:ascii="Arial" w:cs="Arial" w:eastAsia="Arial" w:hAnsi="Arial"/>
          <w:b/>
          <w:bCs/>
          <w:i w:val="false"/>
          <w:iCs w:val="false"/>
          <w:color w:val="E8612A"/>
          <w:sz w:val="22"/>
          <w:szCs w:val="22"/>
        </w:rPr>
        <w:t xml:space="preserve">PCI-DSS Scope Reduction Through Legacy Migration: </w:t>
      </w:r>
      <w:r>
        <w:rPr>
          <w:rFonts w:ascii="Arial" w:cs="Arial" w:eastAsia="Arial" w:hAnsi="Arial"/>
          <w:b w:val="false"/>
          <w:bCs w:val="false"/>
          <w:i w:val="false"/>
          <w:iCs w:val="false"/>
          <w:color w:val="1A2332"/>
          <w:sz w:val="22"/>
          <w:szCs w:val="22"/>
        </w:rPr>
        <w:t xml:space="preserve">Legacy FinTech systems often carry legacy PCI-DSS scope: SAQ-D (all 329 requirements) because card data was processed in the application. Modernisation opportunity: migrate to Stripe Elements or Adyen Drop-In — card data never touches the new system (SAQ-A: 22 requirements). Legacy migration + PCI scope reduction: dual benefit that reduces both operational risk and annual PCI compliance cost (SAQ-D compliance: £15,000–£80,000/year; SAQ-A: £2,000–£8,000/year).</w:t>
      </w:r>
    </w:p>
    <w:p>
      <w:pPr>
        <w:spacing w:after="60" w:before="60"/>
      </w:pPr>
    </w:p>
    <w:p>
      <w:pPr>
        <w:spacing w:after="160" w:before="100"/>
      </w:pPr>
      <w:r>
        <w:rPr>
          <w:rFonts w:ascii="Arial" w:cs="Arial" w:eastAsia="Arial" w:hAnsi="Arial"/>
          <w:b/>
          <w:bCs/>
          <w:i w:val="false"/>
          <w:iCs w:val="false"/>
          <w:color w:val="E8612A"/>
          <w:sz w:val="22"/>
          <w:szCs w:val="22"/>
        </w:rPr>
        <w:t xml:space="preserve">FCA Consumer Duty Debt in Legacy Systems: </w:t>
      </w:r>
      <w:r>
        <w:rPr>
          <w:rFonts w:ascii="Arial" w:cs="Arial" w:eastAsia="Arial" w:hAnsi="Arial"/>
          <w:b w:val="false"/>
          <w:bCs w:val="false"/>
          <w:i w:val="false"/>
          <w:iCs w:val="false"/>
          <w:color w:val="1A2332"/>
          <w:sz w:val="22"/>
          <w:szCs w:val="22"/>
        </w:rPr>
        <w:t xml:space="preserve">FCA Consumer Duty (PS22/9) requires: consumer understanding testing evidence, value assessment data, complaint root cause analysis, and vulnerable customer identification. Legacy FinTech systems: often cannot produce these reports without manual extraction. Consumer Duty debt: inability to produce Board-level Consumer Duty reports from automated data is a regulatory risk — FCA expects firms to demonstrate Consumer Duty outcomes. Legacy modernisation to include Consumer Duty reporting as a Day 1 requirement.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COBS, FCA PS21/3, Consumer Duty, PCI-DSS, UK GDPR, Cyber Essentials,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prioritise FinTech legacy modernisation for FCA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priority order for UK FinTech legacy modernisation: (1) Operational resilience (PS21/3): systems supporting Important Business Services with Impact Tolerance risk. (2) Consumer Duty: systems that cannot produce Consumer Duty outcome data — regulatory reporting risk. (3) PCI-DSS scope: systems with unnecessary PCI scope — annual compliance cost reduction. (4) Technical debt: systems slowing feature velocity. ClickMasters scopes FinTech legacy modernisation with FCA compliance as the primary driver.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FinTech legacy modernisation be done without downtime?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for most FinTech legacy systems. ClickMasters Strangler Fig approach: new system receives new traffic from Day 1, legacy system serves existing customers (no migration needed initially), gradual migration of existing customers to new system, legacy decommissioned when last customer migrated. Payment systems: blue-green deployment with traffic shifting — zero-downtime migration. The legacy system runs until it is not needed, then decommissioned safely.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FinTech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FinTech specialists</w:t>
            </w:r>
          </w:p>
          <w:p>
            <w:pPr>
              <w:spacing w:after="0" w:before="0"/>
            </w:pPr>
            <w:r>
              <w:rPr>
                <w:rFonts w:ascii="Arial" w:cs="Arial" w:eastAsia="Arial" w:hAnsi="Arial"/>
                <w:color w:val="1A2332"/>
                <w:sz w:val="20"/>
                <w:szCs w:val="20"/>
              </w:rPr>
              <w:t xml:space="preserve">Delivering Legacy Modernisation for UK FinTech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"fintech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2026-05-29T13:46:21.513Z</dcterms:created>
  <dcterms:modified xsi:type="dcterms:W3CDTF">2026-05-29T13:46:21.513Z</dcterms:modified>
</cp:coreProperties>
</file>

<file path=docProps/custom.xml><?xml version="1.0" encoding="utf-8"?>
<Properties xmlns="http://schemas.openxmlformats.org/officeDocument/2006/custom-properties" xmlns:vt="http://schemas.openxmlformats.org/officeDocument/2006/docPropsVTypes"/>
</file>