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LegalTech Intellectual Property Management Platform — UK IP Law Firm — ClickMasters Case Study
META DESC: A UK top-15 IP law firm with 180 fee earners managing 28,000 active IP matters (patents, trademarks, designs, ...
SLUG: /case-studies/legaltech-ip-management-platform/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LegalTech Intellectual Property Management Platform — UK IP Law Firm</w:t>
      </w:r>
    </w:p>
    <w:p>
      <w:pPr>
        <w:spacing w:after="60" w:before="60"/>
      </w:pPr>
    </w:p>
    <w:p>
      <w:pPr>
        <w:pStyle w:val="Heading1"/>
        <w:spacing w:after="160" w:before="360"/>
      </w:pPr>
      <w:r>
        <w:rPr>
          <w:rFonts w:ascii="Arial" w:cs="Arial" w:eastAsia="Arial" w:hAnsi="Arial"/>
          <w:b/>
          <w:bCs/>
          <w:color w:val="0B1F3A"/>
          <w:sz w:val="40"/>
          <w:szCs w:val="40"/>
        </w:rPr>
        <w:t xml:space="preserve">LegalTech Intellectual Property Management Platform — UK IP Law 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LegalTech / IP</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LegalTech / IP | Tech: React, Node.js/Fastify, PostgreSQL, IPO API, EPO OPS API, WIPO Madrid API, PCT WIPO API, AWS eu-west-2 | Compliance: SRA Code of Conduct, UK GDPR, IPO API terms, EPO OPS API terms, WIPO API terms,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top-15 IP law firm with 180 fee earners managing 28,000 active IP matters (patents, trademarks, designs, copyright) needed to replace their legacy CPA Global platform with a bespoke IP portfolio management system. IPO (Intellectual Property Office) API integration, EPO (European Patent Office) API, WIPO Madrid System for international trademark registration, SRA professional obligations, UK GDPR for client IP data, and critical date management (patent renewals, trademark renewals — missed deadlines are professional negligence) were the requirements. Budget: £130,000.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Critical Date Management Engine: </w:t>
      </w:r>
      <w:r>
        <w:rPr>
          <w:rFonts w:ascii="Arial" w:cs="Arial" w:eastAsia="Arial" w:hAnsi="Arial"/>
          <w:b w:val="false"/>
          <w:bCs w:val="false"/>
          <w:i w:val="false"/>
          <w:iCs w:val="false"/>
          <w:color w:val="1A2332"/>
          <w:sz w:val="22"/>
          <w:szCs w:val="22"/>
        </w:rPr>
        <w:t xml:space="preserve">IP critical dates: patent renewal (annual — first renewal due 4 years from application date), trademark renewal (10-year cycle), design registration renewal (5-year renewals, maximum 25 years), PCT international phase deadlines (strict 30-month national phase entry deadline). Alert cascade: 12 months, 6 months, 3 months, 1 month, 2 weeks, 3 days before each critical date. Fee earner + client notification. Acknowledge-or-action required: no notification dismissed without recorded action. Professional negligence risk: any missed renewal = potential negligence claim.</w:t>
      </w:r>
    </w:p>
    <w:p>
      <w:pPr>
        <w:spacing w:after="160" w:before="100"/>
      </w:pPr>
      <w:r>
        <w:rPr>
          <w:rFonts w:ascii="Arial" w:cs="Arial" w:eastAsia="Arial" w:hAnsi="Arial"/>
          <w:b/>
          <w:bCs/>
          <w:i w:val="false"/>
          <w:iCs w:val="false"/>
          <w:color w:val="E8612A"/>
          <w:sz w:val="22"/>
          <w:szCs w:val="22"/>
        </w:rPr>
        <w:t xml:space="preserve">IPO API Integration: </w:t>
      </w:r>
      <w:r>
        <w:rPr>
          <w:rFonts w:ascii="Arial" w:cs="Arial" w:eastAsia="Arial" w:hAnsi="Arial"/>
          <w:b w:val="false"/>
          <w:bCs w:val="false"/>
          <w:i w:val="false"/>
          <w:iCs w:val="false"/>
          <w:color w:val="1A2332"/>
          <w:sz w:val="22"/>
          <w:szCs w:val="22"/>
        </w:rPr>
        <w:t xml:space="preserve">UK Intellectual Property Office (IPO) API: trademark search (Nice Classification — 45 classes), patent register, designs register, and filing status. Automated status monitoring: all active IP matters polled against IPO API daily — any status change (granted, opposed, lapsed) triggers notification. IPO patent renewal API: automated UK patent renewal payment submission (avoids missed renewal through manual oversight). Trademark watch: automated similarity search — new trademark applications in the same class as client marks flagged for watch service.</w:t>
      </w:r>
    </w:p>
    <w:p>
      <w:pPr>
        <w:spacing w:after="160" w:before="100"/>
      </w:pPr>
      <w:r>
        <w:rPr>
          <w:rFonts w:ascii="Arial" w:cs="Arial" w:eastAsia="Arial" w:hAnsi="Arial"/>
          <w:b/>
          <w:bCs/>
          <w:i w:val="false"/>
          <w:iCs w:val="false"/>
          <w:color w:val="E8612A"/>
          <w:sz w:val="22"/>
          <w:szCs w:val="22"/>
        </w:rPr>
        <w:t xml:space="preserve">EPO and WIPO Integration: </w:t>
      </w:r>
      <w:r>
        <w:rPr>
          <w:rFonts w:ascii="Arial" w:cs="Arial" w:eastAsia="Arial" w:hAnsi="Arial"/>
          <w:b w:val="false"/>
          <w:bCs w:val="false"/>
          <w:i w:val="false"/>
          <w:iCs w:val="false"/>
          <w:color w:val="1A2332"/>
          <w:sz w:val="22"/>
          <w:szCs w:val="22"/>
        </w:rPr>
        <w:t xml:space="preserve">European Patent Office (EPO) OPS (Open Patent Services) API: European patent prosecution status, examination reports, opposition proceedings. PCT (Patent Cooperation Treaty — WIPO): PCT application status, international search report, international examination report. WIPO Madrid System API: international trademark registration status, designation status per country. Docketing automation: EPO/WIPO events automatically created as actions in matter management — no manual docketing from PDF correspondence.</w:t>
      </w:r>
    </w:p>
    <w:p>
      <w:pPr>
        <w:spacing w:after="160" w:before="100"/>
      </w:pPr>
      <w:r>
        <w:rPr>
          <w:rFonts w:ascii="Arial" w:cs="Arial" w:eastAsia="Arial" w:hAnsi="Arial"/>
          <w:b/>
          <w:bCs/>
          <w:i w:val="false"/>
          <w:iCs w:val="false"/>
          <w:color w:val="E8612A"/>
          <w:sz w:val="22"/>
          <w:szCs w:val="22"/>
        </w:rPr>
        <w:t xml:space="preserve">Client Portal and IP Portfolio Analytics: </w:t>
      </w:r>
      <w:r>
        <w:rPr>
          <w:rFonts w:ascii="Arial" w:cs="Arial" w:eastAsia="Arial" w:hAnsi="Arial"/>
          <w:b w:val="false"/>
          <w:bCs w:val="false"/>
          <w:i w:val="false"/>
          <w:iCs w:val="false"/>
          <w:color w:val="1A2332"/>
          <w:sz w:val="22"/>
          <w:szCs w:val="22"/>
        </w:rPr>
        <w:t xml:space="preserve">Client portal: branded portal per client — active IP portfolio, renewal dates, costs to date, filing history. IP portfolio analytics: technology mapping (patent claims clustered by technical field), geographic coverage (trademark registrations per jurisdiction — world map), and portfolio value assessment (citation analysis — how often each patent is cited by others). IP valuation dashboard: patent citation count, family size, years remaining, and estimated remaining commercial value.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20 weeks, £118,000 — under budget. Critical date zero misses: 100% — zero missed renewals in first 12 months (prior year: 2 near-misses requiring emergency fee). IPO status monitoring: 28,000 matters monitored daily (previously quarterly manual review). Client portal adoption: 84% of top-50 clients using portal within 6 months. Docketing time: 40% reduction (EPO/WIPO auto-docketing). SRA file audit: zero findings.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"Zero missed IP renewals in 12 months. Two near-misses in the prior year — each required emergency action and significant partner anxiety. 28,000 matters monitored daily versus previously quarterly — the monitoring frequency change alone reduced risk dramatically. Client portal 84% adoption from top-50 clients — they see their portfolio in real time." — Managing Partner, UK IP Law Firm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IPO API, EPO OPS API, WIPO Madrid API, PCT WIPO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SRA Code of Conduct, UK GDPR, IPO API terms, EPO OPS API terms, WIPO API terms,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ip management software uk, patent management platform uk, legaltech ip law firm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2026-05-31T03:00:00.573Z</dcterms:created>
  <dcterms:modified xsi:type="dcterms:W3CDTF">2026-05-31T03:00:00.573Z</dcterms:modified>
</cp:coreProperties>
</file>

<file path=docProps/custom.xml><?xml version="1.0" encoding="utf-8"?>
<Properties xmlns="http://schemas.openxmlformats.org/officeDocument/2006/custom-properties" xmlns:vt="http://schemas.openxmlformats.org/officeDocument/2006/docPropsVTypes"/>
</file>