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DEFRA Environmental Permit Management — UK Environment Agency — ClickMasters Case Study
META DESC: An Environment Agency-contracted digital supplier building a digital environmental permit management system fo...
SLUG: /case-studies/govtech-defra-environmental-permit-management/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DEFRA Environmental Permit Management — UK Environment Agency</w:t>
      </w:r>
    </w:p>
    <w:p>
      <w:pPr>
        <w:spacing w:after="60" w:before="60"/>
      </w:pPr>
    </w:p>
    <w:p>
      <w:pPr>
        <w:pStyle w:val="Heading1"/>
        <w:spacing w:after="160" w:before="360"/>
      </w:pPr>
      <w:r>
        <w:rPr>
          <w:rFonts w:ascii="Arial" w:cs="Arial" w:eastAsia="Arial" w:hAnsi="Arial"/>
          <w:b/>
          <w:bCs/>
          <w:color w:val="0B1F3A"/>
          <w:sz w:val="40"/>
          <w:szCs w:val="40"/>
        </w:rPr>
        <w:t xml:space="preserve">GovTech DEFRA Environmental Permit Management — UK Environment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Environment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Environment | Tech: React, GOV.UK Design System, Node.js/Fastify, PostgreSQL, GOV.UK Pay, GOV.UK Notify, AWS eu-west-2 | Compliance: Environmental Permitting Regulations 2016, UK GDPR, PSBAR WCAG 2.1 AA, GDS Service Standard, GOV.UK Pay API terms,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Environment Agency-contracted digital supplier building a digital environmental permit management system for England — enabling regulated businesses (waste management, industrial operators, water abstractors) to apply for, manage, and renew environmental permits. Environmental Permitting Regulations 2016 (EPR), UK GDPR, PSBAR accessibility, GDS Service Standard, GOV.UK Pay, and GOV.UK Notify integration were mandatory. Budget: £80,000.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Environmental Permitting Workflow: </w:t>
      </w:r>
      <w:r>
        <w:rPr>
          <w:rFonts w:ascii="Arial" w:cs="Arial" w:eastAsia="Arial" w:hAnsi="Arial"/>
          <w:b w:val="false"/>
          <w:bCs w:val="false"/>
          <w:i w:val="false"/>
          <w:iCs w:val="false"/>
          <w:color w:val="1A2332"/>
          <w:sz w:val="22"/>
          <w:szCs w:val="22"/>
        </w:rPr>
        <w:t xml:space="preserve">EPR 2016: environmental permits for: waste operations (WM permit), water discharge (WD permit), industrial emissions (IED permit), and water abstraction (WA licence). Application workflow: operator registers → selects permit type → completes structured application (site details, activity descriptions, waste streams, emission levels) → supporting documentation upload → fee payment (GOV.UK Pay) → EA officer review → permit issued or objected. Digital decision: structured decision rationale required (EA officers guided through legal decision framework).</w:t>
      </w:r>
    </w:p>
    <w:p>
      <w:pPr>
        <w:spacing w:after="160" w:before="100"/>
      </w:pPr>
      <w:r>
        <w:rPr>
          <w:rFonts w:ascii="Arial" w:cs="Arial" w:eastAsia="Arial" w:hAnsi="Arial"/>
          <w:b/>
          <w:bCs/>
          <w:i w:val="false"/>
          <w:iCs w:val="false"/>
          <w:color w:val="E8612A"/>
          <w:sz w:val="22"/>
          <w:szCs w:val="22"/>
        </w:rPr>
        <w:t xml:space="preserve">GOV.UK Pay Fee Processing: </w:t>
      </w:r>
      <w:r>
        <w:rPr>
          <w:rFonts w:ascii="Arial" w:cs="Arial" w:eastAsia="Arial" w:hAnsi="Arial"/>
          <w:b w:val="false"/>
          <w:bCs w:val="false"/>
          <w:i w:val="false"/>
          <w:iCs w:val="false"/>
          <w:color w:val="1A2332"/>
          <w:sz w:val="22"/>
          <w:szCs w:val="22"/>
        </w:rPr>
        <w:t xml:space="preserve">Environmental permit fees: variable based on permit type, complexity, and operator size. Fee schedule (EA published fee guidance): standard bespoke permit £2,257, standard bespoke variation £783, standard rules permit £100–£3,258. GOV.UK Pay: payment integration for all permit fees. Refund management: EA has 2-month withdrawal right during consideration — automatic refund via GOV.UK Pay refund API. Annual subsistence charge: recurring permit fee (GOV.UK Pay recurring — or DD for larger operators).</w:t>
      </w:r>
    </w:p>
    <w:p>
      <w:pPr>
        <w:spacing w:after="160" w:before="100"/>
      </w:pPr>
      <w:r>
        <w:rPr>
          <w:rFonts w:ascii="Arial" w:cs="Arial" w:eastAsia="Arial" w:hAnsi="Arial"/>
          <w:b/>
          <w:bCs/>
          <w:i w:val="false"/>
          <w:iCs w:val="false"/>
          <w:color w:val="E8612A"/>
          <w:sz w:val="22"/>
          <w:szCs w:val="22"/>
        </w:rPr>
        <w:t xml:space="preserve">UK GDPR Environmental Permit Data: </w:t>
      </w:r>
      <w:r>
        <w:rPr>
          <w:rFonts w:ascii="Arial" w:cs="Arial" w:eastAsia="Arial" w:hAnsi="Arial"/>
          <w:b w:val="false"/>
          <w:bCs w:val="false"/>
          <w:i w:val="false"/>
          <w:iCs w:val="false"/>
          <w:color w:val="1A2332"/>
          <w:sz w:val="22"/>
          <w:szCs w:val="22"/>
        </w:rPr>
        <w:t xml:space="preserve">Environmental permit applications contain: operator personal data (sole traders, directors), site address data, and business confidentiality data (trade secrets in permit application that cannot be disclosed publicly). Public register: EPR 2016 requires Environmental Permit public register — applicant names and permit details publicly accessible. UK GDPR: separate privacy notice for permit applicants (public register obligation must be clearly disclosed). Trade secret protection: operators can request commercially confidential information exemption from public register (documented decision process).</w:t>
      </w:r>
    </w:p>
    <w:p>
      <w:pPr>
        <w:spacing w:after="160" w:before="100"/>
      </w:pPr>
      <w:r>
        <w:rPr>
          <w:rFonts w:ascii="Arial" w:cs="Arial" w:eastAsia="Arial" w:hAnsi="Arial"/>
          <w:b/>
          <w:bCs/>
          <w:i w:val="false"/>
          <w:iCs w:val="false"/>
          <w:color w:val="E8612A"/>
          <w:sz w:val="22"/>
          <w:szCs w:val="22"/>
        </w:rPr>
        <w:t xml:space="preserve">GDS Service Standard Implementation: </w:t>
      </w:r>
      <w:r>
        <w:rPr>
          <w:rFonts w:ascii="Arial" w:cs="Arial" w:eastAsia="Arial" w:hAnsi="Arial"/>
          <w:b w:val="false"/>
          <w:bCs w:val="false"/>
          <w:i w:val="false"/>
          <w:iCs w:val="false"/>
          <w:color w:val="1A2332"/>
          <w:sz w:val="22"/>
          <w:szCs w:val="22"/>
        </w:rPr>
        <w:t xml:space="preserve">GDS Service Standard for EA permit management: multi-step application across sessions (save and continue), progress indicator, plain language guidance for each permit type, error messages in plain English (not technical codes), and mobile-first design (operators often on-site with mobile). GOV.UK Design System components throughout. GDS Alpha assessment: user research with 14 regulated businesses (waste managers, industrial operators, water abstractors).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GDS Beta assessment: passed first attempt. Platform live at 14 weeks, £74,000 — under budget. Digital application completion rate: 84% (paper alternative: 34% abandonment on paper). Permit processing time: 12.4 weeks → 8.2 weeks. Fee payment error rate: 0.3% (correct amount, correct permit type — previously 8.4% manual invoice errors). WCAG 2.1 AA: zero non-compliances. GOV.UK Pay: £840,000 processed in first 6 months. Defra stakeholder review: platform cited as GDS exemplar.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"84% digital application completion versus 34% abandonment on paper. Permit processing 12.4 weeks to 8.2 weeks. £840,000 in fees processed with 0.3% error rate versus 8.4% manual invoice errors. GDS Beta first attempt. Defra cited the platform as a GDS exemplar. The EA officers say it makes their work better, not just faster." — Programme Director, EA Digital Supplier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GOV.UK Design System, Node.js/Fastify, PostgreSQL, GOV.UK Pay,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Environmental Permitting Regulations 2016, UK GDPR, PSBAR WCAG 2.1 AA, GDS Service Standard, GOV.UK Pay API terms,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environmental permit management software uk, defra digital services uk, govtech environment agency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2026-05-31T03:27:13.681Z</dcterms:created>
  <dcterms:modified xsi:type="dcterms:W3CDTF">2026-05-31T03:27:13.681Z</dcterms:modified>
</cp:coreProperties>
</file>

<file path=docProps/custom.xml><?xml version="1.0" encoding="utf-8"?>
<Properties xmlns="http://schemas.openxmlformats.org/officeDocument/2006/custom-properties" xmlns:vt="http://schemas.openxmlformats.org/officeDocument/2006/docPropsVTypes"/>
</file>