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MongoDB vs DynamoDB vs Cassandra UK (2025) | ClickMasters</w:t>
            </w:r>
          </w:p>
        </w:tc>
      </w:tr>
    </w:tbl>
    <w:p>
      <w:pPr>
        <w:spacing w:after="60" w:before="60"/>
      </w:pPr>
    </w:p>
    <w:p>
      <w:pPr>
        <w:pStyle w:val="Heading1"/>
        <w:spacing w:after="160" w:before="360"/>
      </w:pPr>
      <w:r>
        <w:rPr>
          <w:rFonts w:ascii="Arial" w:cs="Arial" w:eastAsia="Arial" w:hAnsi="Arial"/>
          <w:b/>
          <w:bCs/>
          <w:color w:val="0B1F3A"/>
          <w:sz w:val="40"/>
          <w:szCs w:val="40"/>
        </w:rPr>
        <w:t xml:space="preserve">MongoDB vs DynamoDB vs Cassandra UK NoSQL (2025)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For most UK applications use PostgreSQL. If you genuinely need NoSQL: DynamoDB for key-value and TTL. MongoDB Atlas for document data. Cassandra for very high write throughput — rarely right for UK SME.</w:t>
            </w:r>
          </w:p>
        </w:tc>
      </w:tr>
    </w:tbl>
    <w:p>
      <w:pPr>
        <w:spacing w:after="60" w:before="60"/>
      </w:pPr>
    </w:p>
    <w:p>
      <w:pPr>
        <w:spacing w:after="160" w:before="100"/>
      </w:pPr>
      <w:r>
        <w:rPr>
          <w:rFonts w:ascii="Arial" w:cs="Arial" w:eastAsia="Arial" w:hAnsi="Arial"/>
          <w:b w:val="false"/>
          <w:bCs w:val="false"/>
          <w:color w:val="1A2332"/>
          <w:sz w:val="22"/>
          <w:szCs w:val="22"/>
        </w:rPr>
        <w:t xml:space="preserve">NoSQL is frequently chosen on trend rather than genuine need. Honest UK assessment: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rPr>
          <w:tblHeader/>
        </w:trPr>
        <w:tc>
          <w:tcPr>
            <w:tcW w:type="dxa" w:w="25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Factor</w:t>
            </w:r>
          </w:p>
        </w:tc>
        <w:tc>
          <w:tcPr>
            <w:tcW w:type="dxa" w:w="21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PostgreSQL</w:t>
            </w:r>
          </w:p>
        </w:tc>
        <w:tc>
          <w:tcPr>
            <w:tcW w:type="dxa" w:w="21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DynamoDB</w:t>
            </w:r>
          </w:p>
        </w:tc>
        <w:tc>
          <w:tcPr>
            <w:tcW w:type="dxa" w:w="21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18"/>
                <w:szCs w:val="18"/>
              </w:rPr>
              <w:t xml:space="preserve">MongoDB Atlas</w:t>
            </w:r>
          </w:p>
        </w:tc>
      </w:tr>
      <w:tr>
        <w:tc>
          <w:tcPr>
            <w:tcW w:type="dxa" w:w="2500"/>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Cyber Essentials patching</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RDS managed by AWS</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AWS managed — no obligation</w:t>
            </w:r>
          </w:p>
        </w:tc>
        <w:tc>
          <w:tcPr>
            <w:tcW w:type="dxa" w:w="2176"/>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Atlas managed — no obligation</w:t>
            </w:r>
          </w:p>
        </w:tc>
      </w:tr>
      <w:tr>
        <w:tc>
          <w:tcPr>
            <w:tcW w:type="dxa" w:w="2500"/>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UK GDPR Row Level Security</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Native RLS — strongest</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IAM policies only</w:t>
            </w:r>
          </w:p>
        </w:tc>
        <w:tc>
          <w:tcPr>
            <w:tcW w:type="dxa" w:w="2176"/>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Collection-level only</w:t>
            </w:r>
          </w:p>
        </w:tc>
      </w:tr>
      <w:tr>
        <w:tc>
          <w:tcPr>
            <w:tcW w:type="dxa" w:w="2500"/>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UK data residency</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eu-west-2</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eu-west-2</w:t>
            </w:r>
          </w:p>
        </w:tc>
        <w:tc>
          <w:tcPr>
            <w:tcW w:type="dxa" w:w="2176"/>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EU region available</w:t>
            </w:r>
          </w:p>
        </w:tc>
      </w:tr>
      <w:tr>
        <w:tc>
          <w:tcPr>
            <w:tcW w:type="dxa" w:w="2500"/>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ACID transactions</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Full ACID always</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Single-table only</w:t>
            </w:r>
          </w:p>
        </w:tc>
        <w:tc>
          <w:tcPr>
            <w:tcW w:type="dxa" w:w="2176"/>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Multi-document since v4</w:t>
            </w:r>
          </w:p>
        </w:tc>
      </w:tr>
      <w:tr>
        <w:tc>
          <w:tcPr>
            <w:tcW w:type="dxa" w:w="2500"/>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SQL query support</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Full SQL</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No — partition key</w:t>
            </w:r>
          </w:p>
        </w:tc>
        <w:tc>
          <w:tcPr>
            <w:tcW w:type="dxa" w:w="2176"/>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No — aggregation only</w:t>
            </w:r>
          </w:p>
        </w:tc>
      </w:tr>
      <w:tr>
        <w:tc>
          <w:tcPr>
            <w:tcW w:type="dxa" w:w="2500"/>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NHS/FCA audit familiarity</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High — SQL standard</w:t>
            </w:r>
          </w:p>
        </w:tc>
        <w:tc>
          <w:tcPr>
            <w:tcW w:type="dxa" w:w="2175"/>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Medium</w:t>
            </w:r>
          </w:p>
        </w:tc>
        <w:tc>
          <w:tcPr>
            <w:tcW w:type="dxa" w:w="2176"/>
            <w:tcBorders>
              <w:top w:val="single" w:color="D6E4F5" w:sz="1"/>
              <w:left w:val="single" w:color="D6E4F5" w:sz="1"/>
              <w:bottom w:val="single" w:color="D6E4F5" w:sz="1"/>
              <w:right w:val="single" w:color="D6E4F5"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Medium</w:t>
            </w:r>
          </w:p>
        </w:tc>
      </w:tr>
      <w:tr>
        <w:tc>
          <w:tcPr>
            <w:tcW w:type="dxa" w:w="2500"/>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bCs/>
                <w:color w:val="0B1F3A"/>
                <w:sz w:val="18"/>
                <w:szCs w:val="18"/>
              </w:rPr>
              <w:t xml:space="preserve">ClickMasters default</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All applications</w:t>
            </w:r>
          </w:p>
        </w:tc>
        <w:tc>
          <w:tcPr>
            <w:tcW w:type="dxa" w:w="2175"/>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Key-value and TTL only</w:t>
            </w:r>
          </w:p>
        </w:tc>
        <w:tc>
          <w:tcPr>
            <w:tcW w:type="dxa" w:w="2176"/>
            <w:tcBorders>
              <w:top w:val="single" w:color="D6E4F5" w:sz="1"/>
              <w:left w:val="single" w:color="D6E4F5" w:sz="1"/>
              <w:bottom w:val="single" w:color="D6E4F5" w:sz="1"/>
              <w:right w:val="single" w:color="D6E4F5" w:sz="1"/>
            </w:tcBorders>
            <w:shd w:fill="F5F7FA" w:val="clear"/>
            <w:tcMar>
              <w:top w:type="dxa" w:w="80"/>
              <w:left w:type="dxa" w:w="120"/>
              <w:bottom w:type="dxa" w:w="80"/>
              <w:right w:type="dxa" w:w="120"/>
            </w:tcMar>
          </w:tcPr>
          <w:p>
            <w:pPr>
              <w:spacing w:after="0" w:before="0"/>
            </w:pPr>
            <w:r>
              <w:rPr>
                <w:rFonts w:ascii="Arial" w:cs="Arial" w:eastAsia="Arial" w:hAnsi="Arial"/>
                <w:b w:val="false"/>
                <w:bCs w:val="false"/>
                <w:color w:val="1A2332"/>
                <w:sz w:val="18"/>
                <w:szCs w:val="18"/>
              </w:rPr>
              <w:t xml:space="preserve">Document CMS only</w:t>
            </w:r>
          </w:p>
        </w:tc>
      </w:tr>
    </w:tbl>
    <w:p>
      <w:pPr>
        <w:spacing w:after="60" w:before="60"/>
      </w:pPr>
    </w:p>
    <w:p>
      <w:pPr>
        <w:spacing w:after="60" w:before="60"/>
      </w:pPr>
    </w:p>
    <w:p>
      <w:pPr>
        <w:spacing w:after="60" w:before="180"/>
      </w:pPr>
      <w:r>
        <w:rPr>
          <w:rFonts w:ascii="Arial" w:cs="Arial" w:eastAsia="Arial" w:hAnsi="Arial"/>
          <w:b/>
          <w:bCs/>
          <w:color w:val="0B1F3A"/>
          <w:sz w:val="22"/>
          <w:szCs w:val="22"/>
        </w:rPr>
        <w:t xml:space="preserve">Q: When should a UK project use DynamoDB instead of PostgreSQL?</w:t>
      </w:r>
    </w:p>
    <w:p>
      <w:pPr>
        <w:spacing w:after="160" w:before="0"/>
      </w:pPr>
      <w:r>
        <w:rPr>
          <w:rFonts w:ascii="Arial" w:cs="Arial" w:eastAsia="Arial" w:hAnsi="Arial"/>
          <w:b w:val="false"/>
          <w:bCs w:val="false"/>
          <w:color w:val="1A2332"/>
          <w:sz w:val="22"/>
          <w:szCs w:val="22"/>
        </w:rPr>
        <w:t xml:space="preserve">A: DynamoDB wins when access is always by a single key, data has natural TTL such as session tokens, or throughput spikes are unpredictable. Most UK CRUD applications do not meet these criteria. ClickMasters uses DynamoDB for sessions, rate limiting, and IoT events only.</w:t>
      </w:r>
    </w:p>
    <w:p>
      <w:pPr>
        <w:spacing w:after="60" w:before="180"/>
      </w:pPr>
      <w:r>
        <w:rPr>
          <w:rFonts w:ascii="Arial" w:cs="Arial" w:eastAsia="Arial" w:hAnsi="Arial"/>
          <w:b/>
          <w:bCs/>
          <w:color w:val="0B1F3A"/>
          <w:sz w:val="22"/>
          <w:szCs w:val="22"/>
        </w:rPr>
        <w:t xml:space="preserve">Q: Is MongoDB suitable for NHS applications?</w:t>
      </w:r>
    </w:p>
    <w:p>
      <w:pPr>
        <w:spacing w:after="160" w:before="0"/>
      </w:pPr>
      <w:r>
        <w:rPr>
          <w:rFonts w:ascii="Arial" w:cs="Arial" w:eastAsia="Arial" w:hAnsi="Arial"/>
          <w:b w:val="false"/>
          <w:bCs w:val="false"/>
          <w:color w:val="1A2332"/>
          <w:sz w:val="22"/>
          <w:szCs w:val="22"/>
        </w:rPr>
        <w:t xml:space="preserve">A: MongoDB Atlas is technically feasible but presents challenges: NHS DTAC assessors are less familiar with MongoDB; it lacks native Row Level Security; and the NHS ecosystem is SQL-native. ClickMasters uses PostgreSQL for all NHS applications without exception.</w:t>
      </w:r>
    </w:p>
    <w:p>
      <w:pPr>
        <w:spacing w:after="60" w:before="60"/>
      </w:pPr>
    </w:p>
    <w:p>
      <w:pPr>
        <w:spacing w:after="80" w:before="180"/>
      </w:pPr>
      <w:r>
        <w:rPr>
          <w:rFonts w:ascii="Arial" w:cs="Arial" w:eastAsia="Arial" w:hAnsi="Arial"/>
          <w:b/>
          <w:bCs/>
          <w:color w:val="0B1F3A"/>
          <w:sz w:val="24"/>
          <w:szCs w:val="24"/>
        </w:rPr>
        <w:t xml:space="preserve">Related Pages</w:t>
      </w:r>
    </w:p>
    <w:p>
      <w:pPr>
        <w:spacing w:after="60" w:before="60"/>
      </w:pPr>
      <w:r>
        <w:rPr>
          <w:rFonts w:ascii="Arial" w:cs="Arial" w:eastAsia="Arial" w:hAnsi="Arial"/>
          <w:b w:val="false"/>
          <w:bCs w:val="false"/>
          <w:color w:val="1A4A8A"/>
          <w:sz w:val="22"/>
          <w:szCs w:val="22"/>
        </w:rPr>
        <w:t xml:space="preserve">PostgreSQL vs MySQL vs SQL Server UK: /postgresql-vs-mysql-vs-sql-server-uk/</w:t>
      </w:r>
    </w:p>
    <w:p>
      <w:pPr>
        <w:spacing w:after="60" w:before="60"/>
      </w:pPr>
      <w:r>
        <w:rPr>
          <w:rFonts w:ascii="Arial" w:cs="Arial" w:eastAsia="Arial" w:hAnsi="Arial"/>
          <w:b w:val="false"/>
          <w:bCs w:val="false"/>
          <w:color w:val="1A4A8A"/>
          <w:sz w:val="22"/>
          <w:szCs w:val="22"/>
        </w:rPr>
        <w:t xml:space="preserve">Cloud-Native Development UK: /cloud-native-development/</w:t>
      </w:r>
    </w:p>
    <w:p>
      <w:pPr>
        <w:spacing w:after="60" w:before="60"/>
      </w:pPr>
      <w:r>
        <w:rPr>
          <w:rFonts w:ascii="Arial" w:cs="Arial" w:eastAsia="Arial" w:hAnsi="Arial"/>
          <w:b w:val="false"/>
          <w:bCs w:val="false"/>
          <w:color w:val="1A4A8A"/>
          <w:sz w:val="22"/>
          <w:szCs w:val="22"/>
        </w:rPr>
        <w:t xml:space="preserve">FinTech Software Development UK: /fintech-software-development/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2026-05-31T10:29:30.846Z</dcterms:created>
  <dcterms:modified xsi:type="dcterms:W3CDTF">2026-05-31T10:29:30.847Z</dcterms:modified>
</cp:coreProperties>
</file>

<file path=docProps/custom.xml><?xml version="1.0" encoding="utf-8"?>
<Properties xmlns="http://schemas.openxmlformats.org/officeDocument/2006/custom-properties" xmlns:vt="http://schemas.openxmlformats.org/officeDocument/2006/docPropsVTypes"/>
</file>