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QA &amp; Testing for HealthTech UK | ClickMasters
META DESC: QA &amp; Testing for UK HealthTech. MHRA. £8,000–£55,000.
SLUG: /healthtech-qa-testing-healthtech/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January 2026  |  Reading time: 9 min  |  Written by: ClickMasters HealthTech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HealthTech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QA &amp; Testing for HealthTech</w:t>
      </w:r>
    </w:p>
    <w:p>
      <w:pPr>
        <w:spacing w:after="60" w:before="60"/>
      </w:pPr>
    </w:p>
    <w:p>
      <w:pPr>
        <w:pStyle w:val="Heading1"/>
        <w:spacing w:after="160" w:before="360"/>
      </w:pPr>
      <w:r>
        <w:rPr>
          <w:rFonts w:ascii="Arial" w:cs="Arial" w:eastAsia="Arial" w:hAnsi="Arial"/>
          <w:b/>
          <w:bCs/>
          <w:color w:val="0B1F3A"/>
          <w:sz w:val="40"/>
          <w:szCs w:val="40"/>
        </w:rPr>
        <w:t xml:space="preserve">QA &amp; Testing for UK HealthTech — MHRA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HealthTech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MHRA</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£8,000–£55,000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QA &amp; Testing for UK HealthTech businesses with MHRA,  IEC 62304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QA &amp; Testing for HealthTech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IEC 62304 Test Documentation for MHRA: </w:t>
      </w:r>
      <w:r>
        <w:rPr>
          <w:rFonts w:ascii="Arial" w:cs="Arial" w:eastAsia="Arial" w:hAnsi="Arial"/>
          <w:b w:val="false"/>
          <w:bCs w:val="false"/>
          <w:i w:val="false"/>
          <w:iCs w:val="false"/>
          <w:color w:val="1A2332"/>
          <w:sz w:val="22"/>
          <w:szCs w:val="22"/>
        </w:rPr>
        <w:t xml:space="preserve">IEC 62304 V&amp;V (Verification and Validation): all medical device software must have documented V&amp;V activities. IEC 62304 test documentation: (1) Software Verification Plan (SVP — defines what will be tested and how), (2) Software Verification Report (SVR — records test results), (3) Unit test evidence (code coverage report — minimum 80% for IEC 62304 Class B software), (4) Integration test evidence (API integration tests — NHS FHIR R4, medical device sensor data), (5) System test evidence (end-to-end user journey tests), (6) User Acceptance Test (UAT — clinical user testing with real clinical scenarios). ClickMasters generates IEC 62304-compliant V&amp;V documentation from CI/CD test artefacts automatically.</w:t>
      </w:r>
    </w:p>
    <w:p>
      <w:pPr>
        <w:spacing w:after="60" w:before="60"/>
      </w:pPr>
    </w:p>
    <w:p>
      <w:pPr>
        <w:spacing w:after="160" w:before="100"/>
      </w:pPr>
      <w:r>
        <w:rPr>
          <w:rFonts w:ascii="Arial" w:cs="Arial" w:eastAsia="Arial" w:hAnsi="Arial"/>
          <w:b/>
          <w:bCs/>
          <w:i w:val="false"/>
          <w:iCs w:val="false"/>
          <w:color w:val="E8612A"/>
          <w:sz w:val="22"/>
          <w:szCs w:val="22"/>
        </w:rPr>
        <w:t xml:space="preserve">DCB0129 Clinical Risk Testing: </w:t>
      </w:r>
      <w:r>
        <w:rPr>
          <w:rFonts w:ascii="Arial" w:cs="Arial" w:eastAsia="Arial" w:hAnsi="Arial"/>
          <w:b w:val="false"/>
          <w:bCs w:val="false"/>
          <w:i w:val="false"/>
          <w:iCs w:val="false"/>
          <w:color w:val="1A2332"/>
          <w:sz w:val="22"/>
          <w:szCs w:val="22"/>
        </w:rPr>
        <w:t xml:space="preserve">DCB0129 Clinical Safety Testing: every change to clinical software must have a clinical risk assessment. Test approach for DCB0129: (1) hazard-based test design (test cases derived from hazard log — each hazard has at least one test case designed to verify the mitigation works), (2) clinical scenario testing (real clinical scenarios from the hazard review — e.g. "nurse incorrectly records medication as administered" → verify system prevents double administration), (3) boundary testing (medication dose calculation — test at maximum safe dose boundary, minimum dose, and zero dose). Clinical safety test report: each clinical safety test case documented with expected result, actual result, and pass/fail. DCB0129 auditors review test report — every hazard must have associated test evidence.</w:t>
      </w:r>
    </w:p>
    <w:p>
      <w:pPr>
        <w:spacing w:after="60" w:before="60"/>
      </w:pPr>
    </w:p>
    <w:p>
      <w:pPr>
        <w:spacing w:after="160" w:before="100"/>
      </w:pPr>
      <w:r>
        <w:rPr>
          <w:rFonts w:ascii="Arial" w:cs="Arial" w:eastAsia="Arial" w:hAnsi="Arial"/>
          <w:b/>
          <w:bCs/>
          <w:i w:val="false"/>
          <w:iCs w:val="false"/>
          <w:color w:val="E8612A"/>
          <w:sz w:val="22"/>
          <w:szCs w:val="22"/>
        </w:rPr>
        <w:t xml:space="preserve">NHS FHIR R4 API Testing: </w:t>
      </w:r>
      <w:r>
        <w:rPr>
          <w:rFonts w:ascii="Arial" w:cs="Arial" w:eastAsia="Arial" w:hAnsi="Arial"/>
          <w:b w:val="false"/>
          <w:bCs w:val="false"/>
          <w:i w:val="false"/>
          <w:iCs w:val="false"/>
          <w:color w:val="1A2332"/>
          <w:sz w:val="22"/>
          <w:szCs w:val="22"/>
        </w:rPr>
        <w:t xml:space="preserve">NHS FHIR R4 API testing: (1) HAPI FHIR validator (validate all FHIR resources against UK Core profiles before submission — run in CI/CD), (2) NHS sandbox testing (NHS Digital provide sandbox environments for PDS, eRS, CSAS, NBS — all integrations tested against sandboxes), (3) FHIR conformance testing (CapabilityStatement — verify server supports required FHIR interactions for each NHS integration), (4) NHS SDS authentication testing (RBAC — test with different NHS SDS roles to verify access control). FHIR validation in CI/CD: HAPI FHIR validator runs on every PR — FHIR validation failure blocks merge.</w:t>
      </w:r>
    </w:p>
    <w:p>
      <w:pPr>
        <w:spacing w:after="60" w:before="60"/>
      </w:pPr>
    </w:p>
    <w:p>
      <w:pPr>
        <w:spacing w:after="160" w:before="100"/>
      </w:pPr>
      <w:r>
        <w:rPr>
          <w:rFonts w:ascii="Arial" w:cs="Arial" w:eastAsia="Arial" w:hAnsi="Arial"/>
          <w:b/>
          <w:bCs/>
          <w:i w:val="false"/>
          <w:iCs w:val="false"/>
          <w:color w:val="E8612A"/>
          <w:sz w:val="22"/>
          <w:szCs w:val="22"/>
        </w:rPr>
        <w:t xml:space="preserve">NHS DTAC Domain 3 Security Testing Evidence: </w:t>
      </w:r>
      <w:r>
        <w:rPr>
          <w:rFonts w:ascii="Arial" w:cs="Arial" w:eastAsia="Arial" w:hAnsi="Arial"/>
          <w:b w:val="false"/>
          <w:bCs w:val="false"/>
          <w:i w:val="false"/>
          <w:iCs w:val="false"/>
          <w:color w:val="1A2332"/>
          <w:sz w:val="22"/>
          <w:szCs w:val="22"/>
        </w:rPr>
        <w:t xml:space="preserve">DTAC Domain 3 (Technical Security): evidence required for DTAC assessment. Security testing artefacts: (1) OWASP ZAP scan (automated DAST — run against staging environment, report generated), (2) Semgrep SAST scan (static analysis — run in CI/CD, zero high-severity findings required), (3) Trivy container scan (Docker image CVE scan — zero critical CVEs required), (4) Dependabot CVE alerts (zero unresolved critical CVEs in production), (5) annual penetration test (CREST-approved pen tester — for DTAC Domain 3 higher assurance). ClickMasters generates DTAC Domain 3 security evidence pack from CI/CD artefacts — submitted to DTAC assessor alongside DTAC questionnaire.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MHRA, IEC 62304, DCB0129, DTAC, NHS DSP Toolkit, UK GDPR Article 9, WCAG 2.1 AA, Cyber Essentials Plus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HealthTech QA &amp; Testing</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£8,000–£55,000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QA evidence is required for NHS DTAC assessment?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NHS DTAC Domain-by-domain QA evidence: Domain 1 (Data Flow): data flow diagram showing where patient data goes. Domain 2 (Data Protection): UK GDPR compliance evidence, ISO 27001 or equivalent security controls. Domain 3 (Technical Security): penetration test report (CREST), OWASP ZAP scan, dependency CVE report, IEC 62304 unit test coverage report. Domain 4 (Interoperability): FHIR R4 conformance statement, NHS integration test evidence (PDS, eRS sandbox). Domain 5 (Usability): WCAG 2.1 AA axe-core report, NVDA screen reader test report, user research evidence (3+ clinical participants). ClickMasters produces a complete DTAC Evidence Pack for each domain — typically 40–80 pages across all 5 domains.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we test NHS software with real clinical scenarios?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NHS clinical scenario testing: ClickMasters works with the client's Clinical Safety Officer (CSO) to design test scenarios from the DCB0129 hazard log. Process: (1) CSO provides hazard log (all clinical hazards and mitigations), (2) ClickMasters maps each mitigation to one or more test cases, (3) clinical scenarios designed with CSO (realistic, based on actual clinical workflows — not generic user stories), (4) clinical user testing (3+ clinical staff test critical scenarios — UAT), (5) clinical safety test report signed by CSO (confirms all mitigations verified). Test environment: synthetic patient data only (UK GDPR Article 25 — never real patient data in test environments). Synthetic data generated using NHS Faker (Python library generating realistic NHS data — UPNs, NHS numbers, SNOMED codes).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HealthTech Software Development UK: /healthtech-software-development/</w:t>
      </w:r>
    </w:p>
    <w:p>
      <w:pPr>
        <w:pStyle w:val="ListParagraph"/>
        <w:numPr>
          <w:ilvl w:val="0"/>
          <w:numId w:val="2"/>
        </w:numPr>
        <w:spacing w:after="60" w:before="60"/>
      </w:pPr>
      <w:r>
        <w:rPr>
          <w:rFonts w:ascii="Arial" w:cs="Arial" w:eastAsia="Arial" w:hAnsi="Arial"/>
          <w:color w:val="1A4A8A"/>
          <w:sz w:val="22"/>
          <w:szCs w:val="22"/>
        </w:rPr>
        <w:t xml:space="preserve">QA &amp; Testing UK: /qa-testing/</w:t>
      </w:r>
    </w:p>
    <w:p>
      <w:pPr>
        <w:pStyle w:val="ListParagraph"/>
        <w:numPr>
          <w:ilvl w:val="0"/>
          <w:numId w:val="2"/>
        </w:numPr>
        <w:spacing w:after="60" w:before="60"/>
      </w:pPr>
      <w:r>
        <w:rPr>
          <w:rFonts w:ascii="Arial" w:cs="Arial" w:eastAsia="Arial" w:hAnsi="Arial"/>
          <w:color w:val="1A4A8A"/>
          <w:sz w:val="22"/>
          <w:szCs w:val="22"/>
        </w:rPr>
        <w:t xml:space="preserve">NHS DTAC Compliance Guide UK: /dtac-compliance-guide/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HealthTech QA &amp; Testing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HealthTech Team</w:t>
            </w:r>
          </w:p>
          <w:p>
            <w:pPr>
              <w:spacing w:after="80" w:before="0"/>
            </w:pPr>
            <w:r>
              <w:rPr>
                <w:rFonts w:ascii="Arial" w:cs="Arial" w:eastAsia="Arial" w:hAnsi="Arial"/>
                <w:b/>
                <w:bCs/>
                <w:color w:val="E8612A"/>
                <w:sz w:val="20"/>
                <w:szCs w:val="20"/>
              </w:rPr>
              <w:t xml:space="preserve">HealthTech specialists</w:t>
            </w:r>
          </w:p>
          <w:p>
            <w:pPr>
              <w:spacing w:after="0" w:before="0"/>
            </w:pPr>
            <w:r>
              <w:rPr>
                <w:rFonts w:ascii="Arial" w:cs="Arial" w:eastAsia="Arial" w:hAnsi="Arial"/>
                <w:color w:val="1A2332"/>
                <w:sz w:val="20"/>
                <w:szCs w:val="20"/>
              </w:rPr>
              <w:t xml:space="preserve">Delivering QA &amp; Testing for UK HealthTech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"healthtech qa testing uk 2026"</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2026-06-03T11:42:03.441Z</dcterms:created>
  <dcterms:modified xsi:type="dcterms:W3CDTF">2026-06-03T11:42:03.441Z</dcterms:modified>
</cp:coreProperties>
</file>

<file path=docProps/custom.xml><?xml version="1.0" encoding="utf-8"?>
<Properties xmlns="http://schemas.openxmlformats.org/officeDocument/2006/custom-properties" xmlns:vt="http://schemas.openxmlformats.org/officeDocument/2006/docPropsVTypes"/>
</file>