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for FinTech UK | ClickMasters
META DESC: MVP Development for UK FinTech. FCA COBS. £12,000–£65,000.
SLUG: /fintech-mvp-development-fintech/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for FinTech</w:t>
      </w:r>
    </w:p>
    <w:p>
      <w:pPr>
        <w:spacing w:after="60" w:before="60"/>
      </w:pPr>
    </w:p>
    <w:p>
      <w:pPr>
        <w:pStyle w:val="Heading1"/>
        <w:spacing w:after="160" w:before="360"/>
      </w:pPr>
      <w:r>
        <w:rPr>
          <w:rFonts w:ascii="Arial" w:cs="Arial" w:eastAsia="Arial" w:hAnsi="Arial"/>
          <w:b/>
          <w:bCs/>
          <w:color w:val="0B1F3A"/>
          <w:sz w:val="40"/>
          <w:szCs w:val="40"/>
        </w:rPr>
        <w:t xml:space="preserve">MVP Development for UK FinTech — FCA 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for UK FinTech businesses with FCA COBS,  FCA sandbox (FCA Innovate)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MVP Development for FinTech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Regulatory Sandbox for FinTech MVPs: </w:t>
      </w:r>
      <w:r>
        <w:rPr>
          <w:rFonts w:ascii="Arial" w:cs="Arial" w:eastAsia="Arial" w:hAnsi="Arial"/>
          <w:b w:val="false"/>
          <w:bCs w:val="false"/>
          <w:i w:val="false"/>
          <w:iCs w:val="false"/>
          <w:color w:val="1A2332"/>
          <w:sz w:val="22"/>
          <w:szCs w:val="22"/>
        </w:rPr>
        <w:t xml:space="preserve">FCA Innovate (FCA Innovation Hub): FCA's programme to support innovative FinTech products. FCA Regulatory Sandbox: allows FinTech MVPs to test regulated products with real customers under a restricted FCA authorisation. Sandbox benefits: (1) test regulated financial product before full FCA authorisation (6–12 months faster than direct authorisation), (2) FCA direct engagement (FCA sandbox advisor guides through compliance requirements), (3) restricted authorisation (limited customer numbers while testing), (4) no enforcement action during sandbox testing (if sandbox conditions met). Eligibility: product must be genuinely innovative, serve consumer interest, and benefit from real-world testing. ClickMasters has supported 8 UK FinTech sandbox applications — 6 approved.</w:t>
      </w:r>
    </w:p>
    <w:p>
      <w:pPr>
        <w:spacing w:after="60" w:before="60"/>
      </w:pPr>
    </w:p>
    <w:p>
      <w:pPr>
        <w:spacing w:after="160" w:before="100"/>
      </w:pPr>
      <w:r>
        <w:rPr>
          <w:rFonts w:ascii="Arial" w:cs="Arial" w:eastAsia="Arial" w:hAnsi="Arial"/>
          <w:b/>
          <w:bCs/>
          <w:i w:val="false"/>
          <w:iCs w:val="false"/>
          <w:color w:val="E8612A"/>
          <w:sz w:val="22"/>
          <w:szCs w:val="22"/>
        </w:rPr>
        <w:t xml:space="preserve">UK FinTech MVP — What to Build in 12 Weeks: </w:t>
      </w:r>
      <w:r>
        <w:rPr>
          <w:rFonts w:ascii="Arial" w:cs="Arial" w:eastAsia="Arial" w:hAnsi="Arial"/>
          <w:b w:val="false"/>
          <w:bCs w:val="false"/>
          <w:i w:val="false"/>
          <w:iCs w:val="false"/>
          <w:color w:val="1A2332"/>
          <w:sz w:val="22"/>
          <w:szCs w:val="22"/>
        </w:rPr>
        <w:t xml:space="preserve">FinTech MVP priorities: build what validates the business model, defer everything else. Priority 1 — core transaction: if lending, build the loan application and decision. If payments, build the payment initiation. If investment, build the portfolio creation. Priority 2 — FCA compliance minimum: what is the absolute minimum FCA requirement to go live? (typically: KYC, AML screening, risk disclosure). Priority 3 — product analytics: PostHog — understand how users navigate the core transaction (conversion funnel). What NOT to build in MVP: referral programme, advanced reporting, mobile app, API documentation, admin panel. ClickMasters FinTech MVP principle: one core transaction, FCA minimum, analytics. Everything else is Sprint 2.</w:t>
      </w:r>
    </w:p>
    <w:p>
      <w:pPr>
        <w:spacing w:after="60" w:before="60"/>
      </w:pPr>
    </w:p>
    <w:p>
      <w:pPr>
        <w:spacing w:after="160" w:before="100"/>
      </w:pPr>
      <w:r>
        <w:rPr>
          <w:rFonts w:ascii="Arial" w:cs="Arial" w:eastAsia="Arial" w:hAnsi="Arial"/>
          <w:b/>
          <w:bCs/>
          <w:i w:val="false"/>
          <w:iCs w:val="false"/>
          <w:color w:val="E8612A"/>
          <w:sz w:val="22"/>
          <w:szCs w:val="22"/>
        </w:rPr>
        <w:t xml:space="preserve">UK FinTech MVP Technical Stack: </w:t>
      </w:r>
      <w:r>
        <w:rPr>
          <w:rFonts w:ascii="Arial" w:cs="Arial" w:eastAsia="Arial" w:hAnsi="Arial"/>
          <w:b w:val="false"/>
          <w:bCs w:val="false"/>
          <w:i w:val="false"/>
          <w:iCs w:val="false"/>
          <w:color w:val="1A2332"/>
          <w:sz w:val="22"/>
          <w:szCs w:val="22"/>
        </w:rPr>
        <w:t xml:space="preserve">ClickMasters UK FinTech MVP stack (opinionated — optimised for speed and regulatory compliance): (1) Next.js 14 App Router (full-stack TypeScript — frontend and API routes in one repo), (2) PostgreSQL on Neon.tech (serverless PostgreSQL — zero ops, free tier, scale to production), (3) AWS Cognito (authentication — MFA, FCA PS21/3 compliant), (4) Stripe (payments — PCI-DSS SAQ-A from day 1), (5) Onfido (KYC — identity verification, AML screening), (6) Vercel (deployment — zero ops, fast CI/CD). Why Neon.tech not RDS? For MVP: Neon.tech is zero ops, free tier, branches for development (like Git for your database). Migrate to RDS when FCA requires NHS-grade data residency or when Neon.tech pricing at scale becomes expensive.</w:t>
      </w:r>
    </w:p>
    <w:p>
      <w:pPr>
        <w:spacing w:after="60" w:before="60"/>
      </w:pPr>
    </w:p>
    <w:p>
      <w:pPr>
        <w:spacing w:after="160" w:before="100"/>
      </w:pPr>
      <w:r>
        <w:rPr>
          <w:rFonts w:ascii="Arial" w:cs="Arial" w:eastAsia="Arial" w:hAnsi="Arial"/>
          <w:b/>
          <w:bCs/>
          <w:i w:val="false"/>
          <w:iCs w:val="false"/>
          <w:color w:val="E8612A"/>
          <w:sz w:val="22"/>
          <w:szCs w:val="22"/>
        </w:rPr>
        <w:t xml:space="preserve">Open Banking in FinTech MVPs — When to Add It: </w:t>
      </w:r>
      <w:r>
        <w:rPr>
          <w:rFonts w:ascii="Arial" w:cs="Arial" w:eastAsia="Arial" w:hAnsi="Arial"/>
          <w:b w:val="false"/>
          <w:bCs w:val="false"/>
          <w:i w:val="false"/>
          <w:iCs w:val="false"/>
          <w:color w:val="1A2332"/>
          <w:sz w:val="22"/>
          <w:szCs w:val="22"/>
        </w:rPr>
        <w:t xml:space="preserve">Open Banking adds 4–6 weeks to a FinTech MVP and £8,000–£15,000 in development cost (TrueLayer integration). Add Open Banking to MVP when: (1) income verification is the core credit decision (lending MVP — Open Banking replaces manual bank statement upload), (2) account aggregation is the core product (net worth dashboard, financial planning), (3) account-to-account payment is cheaper than card payment at your volume (GOV.UK Pay or GoCardless Direct Debit instead of Stripe). Do NOT add Open Banking to MVP when: it is a nice-to-have feature, the manual alternative works well enough (3-month bank statement upload), or you are still validating whether users will share bank data (build the manual version first — see if users want it).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COBS, FCA sandbox (FCA Innovate), UK GDPR, Cyber Essentials, PCI-DSS SAQ-A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MVP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a UK FinTech MVP cost?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UK FinTech MVP fixed pricing: (1) FCA sandbox MVP (minimum viable to enter FCA sandbox, KYC/AML, core transaction): £12,000–£25,000 (8–12 weeks). (2) Full FinTech MVP (FCA minimum + product analytics + basic admin): £25,000–£45,000 (12–16 weeks). (3) FinTech MVP with Open Banking AISP: £35,000–£60,000 (16–20 weeks). (4) FinTech MVP with Open Banking PISP (payment initiation): £45,000–£75,000 (18–24 weeks). All prices include: UK GDPR data protection, Cyber Essentials controls, FCA consumer disclosure minimum, and PostHog analytics. What is NOT included: full FCA authorisation (separate legal costs: £10,000–£50,000 depending on permissions required).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fastest route to a compliant UK FinTech MVP?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Fastest compliant UK FinTech MVP: (1) FCA Regulatory Sandbox application (submit simultaneously with MVP build — FCA sandbox allows testing before full authorisation), (2) ClickMasters Day 1 stack (Next.js + Cognito + Stripe + Onfido — all pre-integrated, no vendor research), (3) UK GDPR minimum (ICO registration, privacy policy, cookie consent — 1 week, not 1 month), (4) Cyber Essentials (MVP security baseline — 2–4 weeks, enables UK government pilot customers), (5) Core transaction only (one user journey, no admin panel, no mobile app). ClickMasters record: compliant UK FinTech MVP in 8 weeks (personal lending — KYC + credit scoring + loan offer). No shortcuts on FCA compliance — shortcuts on scope.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MVP Development UK: /mvp-development/</w:t>
      </w:r>
    </w:p>
    <w:p>
      <w:pPr>
        <w:pStyle w:val="ListParagraph"/>
        <w:numPr>
          <w:ilvl w:val="0"/>
          <w:numId w:val="2"/>
        </w:numPr>
        <w:spacing w:after="60" w:before="60"/>
      </w:pPr>
      <w:r>
        <w:rPr>
          <w:rFonts w:ascii="Arial" w:cs="Arial" w:eastAsia="Arial" w:hAnsi="Arial"/>
          <w:color w:val="1A4A8A"/>
          <w:sz w:val="22"/>
          <w:szCs w:val="22"/>
        </w:rPr>
        <w:t xml:space="preserve">UK MVP Development Guide: /uk-mvp-development-guide/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FinTech MVP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specialists</w:t>
            </w:r>
          </w:p>
          <w:p>
            <w:pPr>
              <w:spacing w:after="0" w:before="0"/>
            </w:pPr>
            <w:r>
              <w:rPr>
                <w:rFonts w:ascii="Arial" w:cs="Arial" w:eastAsia="Arial" w:hAnsi="Arial"/>
                <w:color w:val="1A2332"/>
                <w:sz w:val="20"/>
                <w:szCs w:val="20"/>
              </w:rPr>
              <w:t xml:space="preserve">Delivering MVP Development for UK FinTech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mvp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2026-06-05T06:26:12.601Z</dcterms:created>
  <dcterms:modified xsi:type="dcterms:W3CDTF">2026-06-05T06:26:12.601Z</dcterms:modified>
</cp:coreProperties>
</file>

<file path=docProps/custom.xml><?xml version="1.0" encoding="utf-8"?>
<Properties xmlns="http://schemas.openxmlformats.org/officeDocument/2006/custom-properties" xmlns:vt="http://schemas.openxmlformats.org/officeDocument/2006/docPropsVTypes"/>
</file>