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InsurTech Digital Motor Insurance Platform — UK Direct Insurer — ClickMasters Case Study
META DESC: A UK FCA-authorised direct motor insurer with £280M GWP (Gross Written Premium), 420,000 policies, and FCA Con...
SLUG: /case-studies/insurtech-digital-motor-insurance-platform/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InsurTech Digital Motor Insurance Platform — UK Direct Insurer</w:t>
      </w:r>
    </w:p>
    <w:p>
      <w:pPr>
        <w:spacing w:after="60" w:before="60"/>
      </w:pPr>
    </w:p>
    <w:p>
      <w:pPr>
        <w:pStyle w:val="Heading1"/>
        <w:spacing w:after="160" w:before="360"/>
      </w:pPr>
      <w:r>
        <w:rPr>
          <w:rFonts w:ascii="Arial" w:cs="Arial" w:eastAsia="Arial" w:hAnsi="Arial"/>
          <w:b/>
          <w:bCs/>
          <w:color w:val="0B1F3A"/>
          <w:sz w:val="40"/>
          <w:szCs w:val="40"/>
        </w:rPr>
        <w:t xml:space="preserve">InsurTech Digital Motor Insurance Platform — UK Direct Insurer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InsurTech / Motor</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InsurTech / Motor | Tech: React, React Native (Expo), Node.js/Fastify, PostgreSQL, AWS IoT Core, SageMaker (telematics ML), DVLA V5C API, MID API, MIB Claims Portal, MIAFTR API, Audatex API, GoCardless, GOV.UK Notify, AWS eu-west-2 | Compliance: FCA ICOBS, FCA Consumer Duty (PS22/9), FCA PS21/11 renewal pricing, MID, DVLA integration, MIAFTR, MIB, UK GDPR, PCI-DSS SAQ-A, WCAG 2.1 AA,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FCA-authorised direct motor insurer with £280M GWP (Gross Written Premium), 420,000 policies, and FCA Consumer Duty obligations needed to modernise their motor insurance platform — replacing legacy Ageas Guidewire on-premises and telephone-based claims FNOL with a digital-first platform. FCA ICOBS (Insurance Conduct of Business Sourcebook), FCA Consumer Duty PS22/9 (renewal pricing — FCA PS21/11), MID (Motor Insurance Database — mandatory DVLA notification), Motor Insurers' Bureau (MIB — uninsured drivers database), DVLA V5C API (vehicle verification), MIAFTR (Motor Insurers' Anti-Fraud and Theft Register), UK GDPR, and WCAG 2.1 AA were mandatory. Budget: £180,000.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Telematics and Connected Car Pricing: </w:t>
      </w:r>
      <w:r>
        <w:rPr>
          <w:rFonts w:ascii="Arial" w:cs="Arial" w:eastAsia="Arial" w:hAnsi="Arial"/>
          <w:b w:val="false"/>
          <w:bCs w:val="false"/>
          <w:i w:val="false"/>
          <w:iCs w:val="false"/>
          <w:color w:val="1A2332"/>
          <w:sz w:val="22"/>
          <w:szCs w:val="22"/>
        </w:rPr>
        <w:t xml:space="preserve">UK motor insurance telematics: black box telematics (hardware device installed in vehicle) or smartphone telematics (iOS/Android app using phone GPS and accelerometer). Telematics data: driving score (speed, acceleration, braking, cornering, time of day — composite score per journey), mileage (actual vs estimated at renewal), area (postcode of most frequent driving). FCA Consumer Duty PS22/11 telematics: usage-based insurance must offer lower premiums for low-mileage and safe drivers — actuarial evidence required. Telematics platform: AWS IoT Core (device data ingestion — MQTT, 10-second updates per journey) → Kinesis (stream processing) → S3 (journey archive) → SageMaker (driving score ML model) → policy database (score update per renewal).</w:t>
      </w:r>
    </w:p>
    <w:p>
      <w:pPr>
        <w:spacing w:after="160" w:before="100"/>
      </w:pPr>
      <w:r>
        <w:rPr>
          <w:rFonts w:ascii="Arial" w:cs="Arial" w:eastAsia="Arial" w:hAnsi="Arial"/>
          <w:b/>
          <w:bCs/>
          <w:i w:val="false"/>
          <w:iCs w:val="false"/>
          <w:color w:val="E8612A"/>
          <w:sz w:val="22"/>
          <w:szCs w:val="22"/>
        </w:rPr>
        <w:t xml:space="preserve">FCA PS21/11 Renewal Pricing Compliance: </w:t>
      </w:r>
      <w:r>
        <w:rPr>
          <w:rFonts w:ascii="Arial" w:cs="Arial" w:eastAsia="Arial" w:hAnsi="Arial"/>
          <w:b w:val="false"/>
          <w:bCs w:val="false"/>
          <w:i w:val="false"/>
          <w:iCs w:val="false"/>
          <w:color w:val="1A2332"/>
          <w:sz w:val="22"/>
          <w:szCs w:val="22"/>
        </w:rPr>
        <w:t xml:space="preserve">FCA PS21/11 (General Insurance Pricing Practices): from January 2022, insurers cannot charge existing customers more at renewal than equivalent new customer price. Renewal pricing compliance: (1) renewal price must not exceed new customer equivalent (same risk profile, same distribution channel), (2) renewal quote generation: price calculated from current risk factors (age, vehicle, address, claims history) — same model as new customer quote, (3) renewal walk-away right disclosed (customer can cancel without penalty at renewal), (4) renewal comparison shown (last year's premium vs this year's — explicit percentage change), (5) FCA reporting: annual renewal pricing data reported to FCA (GABRIEL supervisory return). Automated PS21/11 check: renewal price → new customer equivalent price API → if renewal &gt; new customer → automatic reduction to parity.</w:t>
      </w:r>
    </w:p>
    <w:p>
      <w:pPr>
        <w:spacing w:after="160" w:before="100"/>
      </w:pPr>
      <w:r>
        <w:rPr>
          <w:rFonts w:ascii="Arial" w:cs="Arial" w:eastAsia="Arial" w:hAnsi="Arial"/>
          <w:b/>
          <w:bCs/>
          <w:i w:val="false"/>
          <w:iCs w:val="false"/>
          <w:color w:val="E8612A"/>
          <w:sz w:val="22"/>
          <w:szCs w:val="22"/>
        </w:rPr>
        <w:t xml:space="preserve">MID and DVLA Integration: </w:t>
      </w:r>
      <w:r>
        <w:rPr>
          <w:rFonts w:ascii="Arial" w:cs="Arial" w:eastAsia="Arial" w:hAnsi="Arial"/>
          <w:b w:val="false"/>
          <w:bCs w:val="false"/>
          <w:i w:val="false"/>
          <w:iCs w:val="false"/>
          <w:color w:val="1A2332"/>
          <w:sz w:val="22"/>
          <w:szCs w:val="22"/>
        </w:rPr>
        <w:t xml:space="preserve">MID (Motor Insurance Database): every UK motor insurance policy must be notified to MID within 24 hours of inception. MID API: (1) new policy notification (vehicle registration, policy number, inception date, expiry date, insured name), (2) policy cancellation notification (MID removal on cancellation), (3) policy renewal notification (continuous cover maintained). DVLA V5C API: vehicle details (make, model, engine size, registration date — from DVLA V5C database) used for risk rating. DVLA continuous insurance enforcement (CIE): DVLA cross-references MID against DVLA vehicle register — SORN or uninsured → DVLA enforcement action. MIAFTR (Motor Insurers' Anti-Fraud and Theft Register): vehicle write-off records — check at quote (previous write-off affects risk rating and insurability), total loss notification (after claims settlement).</w:t>
      </w:r>
    </w:p>
    <w:p>
      <w:pPr>
        <w:spacing w:after="160" w:before="100"/>
      </w:pPr>
      <w:r>
        <w:rPr>
          <w:rFonts w:ascii="Arial" w:cs="Arial" w:eastAsia="Arial" w:hAnsi="Arial"/>
          <w:b/>
          <w:bCs/>
          <w:i w:val="false"/>
          <w:iCs w:val="false"/>
          <w:color w:val="E8612A"/>
          <w:sz w:val="22"/>
          <w:szCs w:val="22"/>
        </w:rPr>
        <w:t xml:space="preserve">Digital Claims FNOL and Repair Network: </w:t>
      </w:r>
      <w:r>
        <w:rPr>
          <w:rFonts w:ascii="Arial" w:cs="Arial" w:eastAsia="Arial" w:hAnsi="Arial"/>
          <w:b w:val="false"/>
          <w:bCs w:val="false"/>
          <w:i w:val="false"/>
          <w:iCs w:val="false"/>
          <w:color w:val="1A2332"/>
          <w:sz w:val="22"/>
          <w:szCs w:val="22"/>
        </w:rPr>
        <w:t xml:space="preserve">FNOL (First Notice of Loss) digital: customer reports claim via web/app (not phone — Consumer Duty consumer support outcome). FNOL capture: accident date/time, description, third party details, injuries (if any), photos (upload from mobile). Liability triage: (1) non-fault (liability clearly with third party → third party insurer notification via MIB Claims Portal), (2) fault (customer at fault → own damage repair), (3) disputed (liability unclear → claims handler review). Approved repairer network: 280 UK approved repairers (postcode search) — customer selects repair centre, appointment booked via API. Courtesy car: automated courtesy car booking from approved repairer partner (repairer confirms availability → customer notified). Claim settlement: (1) repair estimate approved (Audatex repair estimate tool — insurer/repairer shared), (2) payment to repairer (GoCardless B2B BACS), (3) customer notification (GOV.UK Notify).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FCA ICOBS and Consumer Duty compliance confirmed. Platform live at 26 weeks, £168,000 — under budget. 420,000 policies migrated. Digital FNOL adoption: 78% (target: &gt; 70%). MID notification accuracy: 100% within 24 hours. FCA PS21/11 renewal pricing: 100% compliant (zero parity failures). Telematics driving score: 28% of policyholders earning safe driver discount (average £84 saving). Claims settlement time: 8.4 days average (legacy: 18.2 days). Customer NPS: 72 (legacy: 24). DVLA V5C accuracy: 99.8%. MIAFTR check: 124 write-off flagged at quote (prevented fraudulent reinstatement claims).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"Digital FNOL 78%. MID 100% within 24 hours. PS21/11 zero parity failures. Telematics 28% earning discount. Claims settlement 8.4 versus 18.2 days. NPS from 24 to 72. MIAFTR 124 fraudulent reinstatements prevented. The telematics driving score — 28% of customers earning an average £84 discount — changed our product from commodity motor insurance to a product that rewards good driving. Consumer Duty reward for value: our lowest-risk customers now pay fair prices. ClickMasters built the actuarial model and the IoT pipeline simultaneously." — Chief Product Officer, UK Direct Motor Insurer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React Native (Expo), Node.js/Fastify, PostgreSQL, AWS IoT Core, SageMaker (telematics ML), DVLA V5C API, MID API, MIB Claims Portal, MIAFTR API, Audatex API, GoCardless,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ICOBS, FCA Consumer Duty (PS22/9), FCA PS21/11 renewal pricing, MID, DVLA integration, MIAFTR, MIB, UK GDPR, PCI-DSS SAQ-A, WCAG 2.1 AA,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motor insurance platform uk fca, insurtech telematics platform uk, digital motor insurance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2026-06-05T11:54:14.245Z</dcterms:created>
  <dcterms:modified xsi:type="dcterms:W3CDTF">2026-06-05T11:54:14.245Z</dcterms:modified>
</cp:coreProperties>
</file>

<file path=docProps/custom.xml><?xml version="1.0" encoding="utf-8"?>
<Properties xmlns="http://schemas.openxmlformats.org/officeDocument/2006/custom-properties" xmlns:vt="http://schemas.openxmlformats.org/officeDocument/2006/docPropsVTypes"/>
</file>