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for LegalTech Companies UK | ClickMasters
META DESC: Custom Software Development for UK LegalTech businesses. SRA Compliance. £30,000–£180,000+. Free consultation.
SLUG: /legaltech-custom-software-development/
SCHEMA: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LegalTech &amp; Custom Software Development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LegalTech Software Development</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Development for LegalTech</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for UK LegalTech Companies — SRA Compliance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LegalTech Specialists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SRA Compliance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£30,000–£180,000+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Custom Software Development specifically for UK LegalTech businesses — with SRA Compliance,  Legal Professional Privilege compliance built into every project from the architecture phase. Our LegalTech team understands the regulatory requirements, data architecture constraints, and sector-specific integration needs of UK LegalTech software.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What Custom Software Development for LegalTech Means in the UK</w:t>
            </w:r>
          </w:p>
        </w:tc>
      </w:tr>
    </w:tbl>
    <w:p>
      <w:pPr>
        <w:spacing w:after="60" w:before="60"/>
      </w:pPr>
    </w:p>
    <w:p>
      <w:pPr>
        <w:spacing w:after="160" w:before="100"/>
      </w:pPr>
      <w:r>
        <w:rPr>
          <w:rFonts w:ascii="Arial" w:cs="Arial" w:eastAsia="Arial" w:hAnsi="Arial"/>
          <w:b/>
          <w:bCs/>
          <w:i w:val="false"/>
          <w:iCs w:val="false"/>
          <w:color w:val="E8612A"/>
          <w:sz w:val="22"/>
          <w:szCs w:val="22"/>
        </w:rPr>
        <w:t xml:space="preserve">SRA Compliance Architecture: </w:t>
      </w:r>
      <w:r>
        <w:rPr>
          <w:rFonts w:ascii="Arial" w:cs="Arial" w:eastAsia="Arial" w:hAnsi="Arial"/>
          <w:b w:val="false"/>
          <w:bCs w:val="false"/>
          <w:i w:val="false"/>
          <w:iCs w:val="false"/>
          <w:color w:val="1A2332"/>
          <w:sz w:val="22"/>
          <w:szCs w:val="22"/>
        </w:rPr>
        <w:t xml:space="preserve">Matter management systems must support SRA obligations: conflict checks, client due diligence, matter-level access controls, and audit trails sufficient for SRA investigation. Legal professional privilege (LPP) data must be architected separately from non-privileged data.</w:t>
      </w:r>
    </w:p>
    <w:p>
      <w:pPr>
        <w:spacing w:after="60" w:before="60"/>
      </w:pPr>
    </w:p>
    <w:p>
      <w:pPr>
        <w:spacing w:after="160" w:before="100"/>
      </w:pPr>
      <w:r>
        <w:rPr>
          <w:rFonts w:ascii="Arial" w:cs="Arial" w:eastAsia="Arial" w:hAnsi="Arial"/>
          <w:b/>
          <w:bCs/>
          <w:i w:val="false"/>
          <w:iCs w:val="false"/>
          <w:color w:val="E8612A"/>
          <w:sz w:val="22"/>
          <w:szCs w:val="22"/>
        </w:rPr>
        <w:t xml:space="preserve">AML for Law Firms — MLRs 2017: </w:t>
      </w:r>
      <w:r>
        <w:rPr>
          <w:rFonts w:ascii="Arial" w:cs="Arial" w:eastAsia="Arial" w:hAnsi="Arial"/>
          <w:b w:val="false"/>
          <w:bCs w:val="false"/>
          <w:i w:val="false"/>
          <w:iCs w:val="false"/>
          <w:color w:val="1A2332"/>
          <w:sz w:val="22"/>
          <w:szCs w:val="22"/>
        </w:rPr>
        <w:t xml:space="preserve">Law firms are HMRC-supervised for AML under the Money Laundering Regulations 2017. Software must support CDD workflows, EDD triggers, MLRO escalation, and POCA 2002 tipping-off awareness — meaning the system must not reveal to a subject that a SAR has been filed.</w:t>
      </w:r>
    </w:p>
    <w:p>
      <w:pPr>
        <w:spacing w:after="60" w:before="60"/>
      </w:pPr>
    </w:p>
    <w:p>
      <w:pPr>
        <w:spacing w:after="160" w:before="100"/>
      </w:pPr>
      <w:r>
        <w:rPr>
          <w:rFonts w:ascii="Arial" w:cs="Arial" w:eastAsia="Arial" w:hAnsi="Arial"/>
          <w:b/>
          <w:bCs/>
          <w:i w:val="false"/>
          <w:iCs w:val="false"/>
          <w:color w:val="E8612A"/>
          <w:sz w:val="22"/>
          <w:szCs w:val="22"/>
        </w:rPr>
        <w:t xml:space="preserve">Legal AI Ethics: </w:t>
      </w:r>
      <w:r>
        <w:rPr>
          <w:rFonts w:ascii="Arial" w:cs="Arial" w:eastAsia="Arial" w:hAnsi="Arial"/>
          <w:b w:val="false"/>
          <w:bCs w:val="false"/>
          <w:i w:val="false"/>
          <w:iCs w:val="false"/>
          <w:color w:val="1A2332"/>
          <w:sz w:val="22"/>
          <w:szCs w:val="22"/>
        </w:rPr>
        <w:t xml:space="preserve">The Law Society has issued guidance on AI in legal services. AI features in legal software must: be explainable (the reasoning behind AI outputs must be auditable), have human oversight (AI recommendations reviewed by qualified lawyers), and not use training data that includes privileged client communications without explicit consent.</w:t>
      </w:r>
    </w:p>
    <w:p>
      <w:pPr>
        <w:spacing w:after="60" w:before="60"/>
      </w:pPr>
    </w:p>
    <w:p>
      <w:pPr>
        <w:spacing w:after="160" w:before="100"/>
      </w:pPr>
      <w:r>
        <w:rPr>
          <w:rFonts w:ascii="Arial" w:cs="Arial" w:eastAsia="Arial" w:hAnsi="Arial"/>
          <w:b/>
          <w:bCs/>
          <w:i w:val="false"/>
          <w:iCs w:val="false"/>
          <w:color w:val="E8612A"/>
          <w:sz w:val="22"/>
          <w:szCs w:val="22"/>
        </w:rPr>
        <w:t xml:space="preserve">Client Portal UK GDPR: </w:t>
      </w:r>
      <w:r>
        <w:rPr>
          <w:rFonts w:ascii="Arial" w:cs="Arial" w:eastAsia="Arial" w:hAnsi="Arial"/>
          <w:b w:val="false"/>
          <w:bCs w:val="false"/>
          <w:i w:val="false"/>
          <w:iCs w:val="false"/>
          <w:color w:val="1A2332"/>
          <w:sz w:val="22"/>
          <w:szCs w:val="22"/>
        </w:rPr>
        <w:t xml:space="preserve">Client-facing portals for law firms process legal advice (potentially LPP-protected) and personal data. UK GDPR subject access request handling must screen for LPP before disclosure — a complex technical requirement unique to legal sector software.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built in: SRA Compliance, Legal Professional Privilege, AML (MLRs 2017), UK GDPR</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Custom Software Development for LegalTech — UK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Project 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LegalTech Custom Software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SRA Compliance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£30,000–£180,000+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Scope + fixed-price proposal for LegalTech Custom Software Development</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LegalTech software need SRA authorisation?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Building software for law firms does not require SRA authorisation — software companies are technology providers. However, if your platform enables non-lawyers to provide legal advice as a principal activity, you may need SRA regulation as an Alternative Business Structure (ABS).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is legal professional privilege handled in software?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Legal professional privilege (LPP) requires: document-level privilege tagging, access controls that enforce privilege restrictions, SAR response workflows that screen for LPP before disclosure, and audit trails of who accessed privileged materials. This requires more sophisticated data modelling than most document management contexts. ClickMasters has designed LPP-aware data architectures for UK legal sector clients.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LegalTech Software Development UK: /legaltech-software-development/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Software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LegalTech Custom Software Development — Free Consultation</w:t>
            </w:r>
          </w:p>
          <w:p>
            <w:pPr>
              <w:spacing w:after="160" w:before="0"/>
            </w:pPr>
            <w:r>
              <w:rPr>
                <w:rFonts w:ascii="Arial" w:cs="Arial" w:eastAsia="Arial" w:hAnsi="Arial"/>
                <w:color w:val="BDD0E8"/>
                <w:sz w:val="22"/>
                <w:szCs w:val="22"/>
              </w:rPr>
              <w:t xml:space="preserve">Free 45-minute consultation with a LegalTech specialist. Cost estimate and compliance roadmap at no charge.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LegalTech Custom Software Development Team</w:t>
            </w:r>
          </w:p>
          <w:p>
            <w:pPr>
              <w:spacing w:after="80" w:before="0"/>
            </w:pPr>
            <w:r>
              <w:rPr>
                <w:rFonts w:ascii="Arial" w:cs="Arial" w:eastAsia="Arial" w:hAnsi="Arial"/>
                <w:b/>
                <w:bCs/>
                <w:color w:val="E8612A"/>
                <w:sz w:val="20"/>
                <w:szCs w:val="20"/>
              </w:rPr>
              <w:t xml:space="preserve">LegalTech software specialists — SRA Compliance,  Legal Professional Privilege</w:t>
            </w:r>
          </w:p>
          <w:p>
            <w:pPr>
              <w:spacing w:after="0" w:before="0"/>
            </w:pPr>
            <w:r>
              <w:rPr>
                <w:rFonts w:ascii="Arial" w:cs="Arial" w:eastAsia="Arial" w:hAnsi="Arial"/>
                <w:color w:val="1A2332"/>
                <w:sz w:val="20"/>
                <w:szCs w:val="20"/>
              </w:rPr>
              <w:t xml:space="preserve">ClickMasters delivers Custom Software Development for UK LegalTech businesses with full compliance architecture from day one.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BreadcrumbList | "legaltech custom software development uk" (300/mo)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2026-05-21T16:31:29.168Z</dcterms:created>
  <dcterms:modified xsi:type="dcterms:W3CDTF">2026-05-21T16:31:29.168Z</dcterms:modified>
</cp:coreProperties>
</file>

<file path=docProps/custom.xml><?xml version="1.0" encoding="utf-8"?>
<Properties xmlns="http://schemas.openxmlformats.org/officeDocument/2006/custom-properties" xmlns:vt="http://schemas.openxmlformats.org/officeDocument/2006/docPropsVTypes"/>
</file>