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LogTech UK | ClickMasters
META DESC: SaaS Development for UK LogTech. UK GDPR. £35,000–£160,000.
SLUG: /logtech-saas-development-logtech/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9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LogTech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LogTech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LogTech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LogTech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£35,000–£160,000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LogTech businesses with UK GDPR,  HMRC CDS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LogTech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Logistics SaaS Market and Architecture: </w:t>
      </w:r>
      <w:r>
        <w:rPr>
          <w:rFonts w:ascii="Arial" w:cs="Arial" w:eastAsia="Arial" w:hAnsi="Arial"/>
          <w:b w:val="false"/>
          <w:bCs w:val="false"/>
          <w:i w:val="false"/>
          <w:iCs w:val="false"/>
          <w:color w:val="1A2332"/>
          <w:sz w:val="22"/>
          <w:szCs w:val="22"/>
        </w:rPr>
        <w:t xml:space="preserve">UK logistics SaaS serves three distinct customer segments: (1) large 3PLs and freight forwarders (enterprise — complex integrations, long sales cycles, bespoke requirements), (2) SME hauliers and couriers (growth — standardised product, self-service onboarding, Stripe billing), (3) e-commerce brands needing fulfilment visibility (high volume, API-first, competitive). SaaS architecture: multi-tenant (PostgreSQL RLS per client — client data isolation), subscription billing (Stripe Billing — per-vehicle or per-shipment pricing), and carrier API marketplace (Royal Mail, DPD, DHL, Evri — one integration, multiple carriers). UK logistics SaaS pricing: per-vehicle £20–£80/month, per-shipment £0.02–£0.10, per-user £30–£150/month (enterprise seat-based).</w:t>
      </w:r>
    </w:p>
    <w:p>
      <w:pPr>
        <w:spacing w:after="60" w:before="60"/>
      </w:pPr>
    </w:p>
    <w:p>
      <w:pPr>
        <w:spacing w:after="160" w:before="100"/>
      </w:pPr>
      <w:r>
        <w:rPr>
          <w:rFonts w:ascii="Arial" w:cs="Arial" w:eastAsia="Arial" w:hAnsi="Arial"/>
          <w:b/>
          <w:bCs/>
          <w:i w:val="false"/>
          <w:iCs w:val="false"/>
          <w:color w:val="E8612A"/>
          <w:sz w:val="22"/>
          <w:szCs w:val="22"/>
        </w:rPr>
        <w:t xml:space="preserve">HMRC CDS SaaS Integration for Freight Forwarders: </w:t>
      </w:r>
      <w:r>
        <w:rPr>
          <w:rFonts w:ascii="Arial" w:cs="Arial" w:eastAsia="Arial" w:hAnsi="Arial"/>
          <w:b w:val="false"/>
          <w:bCs w:val="false"/>
          <w:i w:val="false"/>
          <w:iCs w:val="false"/>
          <w:color w:val="1A2332"/>
          <w:sz w:val="22"/>
          <w:szCs w:val="22"/>
        </w:rPr>
        <w:t xml:space="preserve">HMRC CDS (Customs Declaration Service): freight forwarder SaaS must integrate CDS for UK import/export declarations. Multi-tenant CDS architecture: each freight forwarder client has their own CDS EORI (Economic Operators Registration and Identification) number and CDS credentials. SaaS CDS integration: (1) EORI onboarding (each client's EORI registered with HMRC CDS), (2) agent authorisation (freight forwarder agents on behalf of importer — C1 (agent) and C2 (declarant) relationship), (3) declaration generation (tariff lookup + declaration data → CDS declaration XML), (4) CDS submission (API → acceptance → goods released), (5) duty calculation (UK Global Tariff API). Multi-tenant isolation: each client's CDS credentials isolated in AWS Secrets Manager per-tenant key.</w:t>
      </w:r>
    </w:p>
    <w:p>
      <w:pPr>
        <w:spacing w:after="60" w:before="60"/>
      </w:pPr>
    </w:p>
    <w:p>
      <w:pPr>
        <w:spacing w:after="160" w:before="100"/>
      </w:pPr>
      <w:r>
        <w:rPr>
          <w:rFonts w:ascii="Arial" w:cs="Arial" w:eastAsia="Arial" w:hAnsi="Arial"/>
          <w:b/>
          <w:bCs/>
          <w:i w:val="false"/>
          <w:iCs w:val="false"/>
          <w:color w:val="E8612A"/>
          <w:sz w:val="22"/>
          <w:szCs w:val="22"/>
        </w:rPr>
        <w:t xml:space="preserve">Telematics SaaS for UK Hauliers: </w:t>
      </w:r>
      <w:r>
        <w:rPr>
          <w:rFonts w:ascii="Arial" w:cs="Arial" w:eastAsia="Arial" w:hAnsi="Arial"/>
          <w:b w:val="false"/>
          <w:bCs w:val="false"/>
          <w:i w:val="false"/>
          <w:iCs w:val="false"/>
          <w:color w:val="1A2332"/>
          <w:sz w:val="22"/>
          <w:szCs w:val="22"/>
        </w:rPr>
        <w:t xml:space="preserve">UK haulier telematics SaaS: DVSA compliance is the primary telematics driver (tachograph analysis, driver card downloads, infringement reports). Tachograph integration: (1) Optac3 / VDO WebTacho API (digital tachograph download via API — connected to truck telematics unit), (2) driver activity data (driving time, break time, rest time — EU drivers' hours rules), (3) infringement detection (automated infringement alerts — DVSA Categorisation A/B/C infringements), (4) DVSA analysis centre submission (digital tachograph data submitted to DVSA as required). DVSA Earned Recognition: UK hauliers in DVSA Earned Recognition scheme benefit from reduced roadside checks — platform generates ER compliance evidence report monthly.</w:t>
      </w:r>
    </w:p>
    <w:p>
      <w:pPr>
        <w:spacing w:after="60" w:before="60"/>
      </w:pPr>
    </w:p>
    <w:p>
      <w:pPr>
        <w:spacing w:after="160" w:before="100"/>
      </w:pPr>
      <w:r>
        <w:rPr>
          <w:rFonts w:ascii="Arial" w:cs="Arial" w:eastAsia="Arial" w:hAnsi="Arial"/>
          <w:b/>
          <w:bCs/>
          <w:i w:val="false"/>
          <w:iCs w:val="false"/>
          <w:color w:val="E8612A"/>
          <w:sz w:val="22"/>
          <w:szCs w:val="22"/>
        </w:rPr>
        <w:t xml:space="preserve">Last-Mile Delivery SaaS for UK E-commerce: </w:t>
      </w:r>
      <w:r>
        <w:rPr>
          <w:rFonts w:ascii="Arial" w:cs="Arial" w:eastAsia="Arial" w:hAnsi="Arial"/>
          <w:b w:val="false"/>
          <w:bCs w:val="false"/>
          <w:i w:val="false"/>
          <w:iCs w:val="false"/>
          <w:color w:val="1A2332"/>
          <w:sz w:val="22"/>
          <w:szCs w:val="22"/>
        </w:rPr>
        <w:t xml:space="preserve">Last-mile delivery SaaS for UK e-commerce brands: (1) multi-carrier rate shopping (Royal Mail Click and Drop, DPD, DHL, Evri, Yodel — cheapest carrier per shipment by weight/size/postcode/service), (2) label generation (carrier label in thermal printer format — ZPL for Zebra printers), (3) customer tracking (white-label tracking page + branded notifications via GOV.UK Notify equivalent or Klaviyo), (4) returns portal (Sendcloud or custom — branded returns experience, carrier pre-paid returns label), (5) analytics (carrier performance — on-time delivery, damage rate, lost parcels — decision support for carrier mix optimisation). Consumer Rights Act: 14-day return window enforced in returns portal — no return fee charged within 14 days.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HMRC CDS, DVSA, DVLA, Cyber Essentials,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logistics SaaS development cost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UK logistics SaaS development costs: (1) Last-mile SaaS (multi-carrier rate shopping + tracking + returns portal — SME e-commerce): £35,000–£70,000 (16–24 weeks). (2) Fleet management SaaS (telematics, tachograph analysis, DVSA ER — SME haulier): £45,000–£90,000 (20–28 weeks). (3) WMS SaaS (multi-tenant 3PL warehouse management, pick optimisation, client portal): £80,000–£150,000 (28–40 weeks). (4) Freight forwarding SaaS (HMRC CDS integration, multi-carrier booking, tracking, customs documentation): £70,000–£140,000 (26–38 weeks). All prices include Stripe Billing subscription setup, multi-tenant PostgreSQL architecture, UK GDPR data isolation, and Cyber Essentials security controls.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DVSA compliance features must UK fleet SaaS include?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fleet SaaS mandatory DVSA compliance features: (1) Digital tachograph analysis (drivers' hours rules — EU Regulation 561/2006 UK retained): driving time limits (9 hours daily, 90 hours fortnightly), break requirements (45 minutes after 4.5 hours), rest requirements (11 hours daily rest). Infringement detection automated. (2) Operator Compliance Risk Score (OCRS): DVSA scores hauliers on roadworthiness and compliance — fleet SaaS monitors OCRS and alerts on score changes. (3) PMI (Preventive Maintenance Inspection) scheduling: legal requirement — documented inspection intervals, defect records. (4) MOT and plating: automated MOT reminder (8 weeks, 4 weeks, 2 weeks before expiry). (5) Operator licence compliance: O-licence conditions — fleet SaaS tracks vehicle authorisation against O-licence vehicle limit.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LogTech Software Development UK: /logtech-software-development/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UK SaaS Architecture Guide: /uk-saas-architecture-guide/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LogTech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specialists</w:t>
            </w:r>
          </w:p>
          <w:p>
            <w:pPr>
              <w:spacing w:after="0" w:before="0"/>
            </w:pPr>
            <w:r>
              <w:rPr>
                <w:rFonts w:ascii="Arial" w:cs="Arial" w:eastAsia="Arial" w:hAnsi="Arial"/>
                <w:color w:val="1A2332"/>
                <w:sz w:val="20"/>
                <w:szCs w:val="20"/>
              </w:rPr>
              <w:t xml:space="preserve">Delivering SaaS Development for UK LogTech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"logtech saas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2026-06-05T12:10:19.007Z</dcterms:created>
  <dcterms:modified xsi:type="dcterms:W3CDTF">2026-06-05T12:10:19.007Z</dcterms:modified>
</cp:coreProperties>
</file>

<file path=docProps/custom.xml><?xml version="1.0" encoding="utf-8"?>
<Properties xmlns="http://schemas.openxmlformats.org/officeDocument/2006/custom-properties" xmlns:vt="http://schemas.openxmlformats.org/officeDocument/2006/docPropsVTypes"/>
</file>