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FinTech Compliance Guide (2026) | ClickMasters
META DESC: FCA compliance for UK FinTech. PS21/3, Consumer Duty, COBS, AML, Open Banking, BNPL regulation. Expert software guide.
SLUG: /uk-fintech-compliance-guide/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14 min  |  Written by: James Whitmore, CTO  |  Reviewed by: ClickMasters FinTech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FinTech Compliance Guide</w:t>
      </w:r>
    </w:p>
    <w:p>
      <w:pPr>
        <w:spacing w:after="60" w:before="60"/>
      </w:pPr>
    </w:p>
    <w:p>
      <w:pPr>
        <w:pStyle w:val="Heading1"/>
        <w:spacing w:after="160" w:before="360"/>
      </w:pPr>
      <w:r>
        <w:rPr>
          <w:rFonts w:ascii="Arial" w:cs="Arial" w:eastAsia="Arial" w:hAnsi="Arial"/>
          <w:b/>
          <w:bCs/>
          <w:color w:val="0B1F3A"/>
          <w:sz w:val="40"/>
          <w:szCs w:val="40"/>
        </w:rPr>
        <w:t xml:space="preserve">UK FinTech Compliance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Consumer Duty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AML</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Review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FinTech software must address four FCA frameworks: PS21/3 (operational resilience — each IBS independently resilient), Consumer Duty PS22/9 (fair outcomes — product design, pricing, understanding, support), COBS (conduct of business), and AML MLRs 2017 (KYC/AML). ClickMasters has built FCA-compliant software for 40+ UK FinTech clients across lending, payments, investment, and insurance.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FCA Regulatory Framework — Software Implications by Rule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18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FCA Rule</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Software Requirement</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Implementation</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Evidence for FCA</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PS21/3 IBS resilience</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Each IBS independently deployable and measurable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ECS Fargate per IBS, CloudWatch Synthetics per IBS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Quarterly Impact Tolerance evidence — AWS FIS chaos test</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Consumer Duty (PS22/9)</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Fair product design, transparent pricing, human support</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Flesch-Kincaid readability check, pricing transparency API</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Annual Consumer Duty assessment report</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COBS 9A (suitability)</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Suitability record for each investment recommendation</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Automated suitability report generation (template-based NLG)</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Suitability report PDF stored 5 years (FCA requirement)</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COBS 6.1B (advice disclosure)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State whether advice is independent or restricted</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Clear disclosure in UI — independent vs restricted label</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Screen recording of disclosure at point of advice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CONC 5.2A (creditworthiness)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Creditworthiness assessment before credit granted</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Open Banking affordability + credit bureau check</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Affordability assessment record stored per application</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MLRs 2017 (AML/KYC)</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Identity verification + AML screening before onboarding</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Onfido KYC + ComplyAdvantage PEP/sanctions screening</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KYC record per customer — archived 5 years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PS21/11 (renewal pricing)</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Renewal price ≤ new customer equivalent price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Automated parity check at renewal generation</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Annual renewal pricing return to FCA (GABRIEL)</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PSD2/PSRs (Open Banking)</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Consent management + data deletion on revocation</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Consent log + 30-day deletion workflow on revocation</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Consent records + deletion audit trail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FCA Consumer Duty — Product Design Checklist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Consumer Duty PS22/9 four outcomes applied to software design: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Products and Services: product must meet consumer need. Software check: does the product design genuinely help the target consumer, or is it designed to generate revenue at consumer expense? ClickMasters Consumer Duty product review: 2-hour session with client before Sprint 1 design — identify any product features that could fail Consumer Duty.</w:t>
      </w:r>
    </w:p>
    <w:p>
      <w:pPr>
        <w:pStyle w:val="ListParagraph"/>
        <w:numPr>
          <w:ilvl w:val="0"/>
          <w:numId w:val="2"/>
        </w:numPr>
        <w:spacing w:after="60" w:before="60"/>
      </w:pPr>
      <w:r>
        <w:rPr>
          <w:rFonts w:ascii="Arial" w:cs="Arial" w:eastAsia="Arial" w:hAnsi="Arial"/>
          <w:color w:val="1A2332"/>
          <w:sz w:val="22"/>
          <w:szCs w:val="22"/>
        </w:rPr>
        <w:t xml:space="preserve">Price and Value: price must be fair relative to value. Software check: (1) all fees and charges displayed at point of purchase (no hidden fees — FCA zero tolerance), (2) annual price-value assessment automated (compare price vs comparable products — dashboard for Compliance), (3) FCA pricing transparency API (any machine-readable price information must be accurate).</w:t>
      </w:r>
    </w:p>
    <w:p>
      <w:pPr>
        <w:pStyle w:val="ListParagraph"/>
        <w:numPr>
          <w:ilvl w:val="0"/>
          <w:numId w:val="2"/>
        </w:numPr>
        <w:spacing w:after="60" w:before="60"/>
      </w:pPr>
      <w:r>
        <w:rPr>
          <w:rFonts w:ascii="Arial" w:cs="Arial" w:eastAsia="Arial" w:hAnsi="Arial"/>
          <w:color w:val="1A2332"/>
          <w:sz w:val="22"/>
          <w:szCs w:val="22"/>
        </w:rPr>
        <w:t xml:space="preserve">Consumer Understanding: communications must be clear. Software check: (1) Flesch-Kincaid Grade Level &lt; 8 for all consumer-facing text (automated readability check in CMS), (2) key information highlighted (not buried in T&amp;Cs), (3) WCAG 2.1 AA (clarity for all users including those with disabilities).</w:t>
      </w:r>
    </w:p>
    <w:p>
      <w:pPr>
        <w:pStyle w:val="ListParagraph"/>
        <w:numPr>
          <w:ilvl w:val="0"/>
          <w:numId w:val="2"/>
        </w:numPr>
        <w:spacing w:after="60" w:before="60"/>
      </w:pPr>
      <w:r>
        <w:rPr>
          <w:rFonts w:ascii="Arial" w:cs="Arial" w:eastAsia="Arial" w:hAnsi="Arial"/>
          <w:color w:val="1A2332"/>
          <w:sz w:val="22"/>
          <w:szCs w:val="22"/>
        </w:rPr>
        <w:t xml:space="preserve">Consumer Support: support must be accessible. Software check: (1) cancellation process no harder than purchase process (2 clicks to cancel, same as sign-up), (2) complaint process accessible and clearly signposted, (3) vulnerable customer identification and support pathway (not decline —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FCA Consumer Duty enforcement: FCA has issued multi-million pound fines for Consumer Duty failures (renewals pricing, hidden fees, inaccessible cancellations). ClickMasters Consumer Duty review is included in every FCA-regulated project. We will not build software that fails Consumer Duty — not because of regulatory risk, but because it is wrong.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AML/KYC Software Implementation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AML Component</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Requirement</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c>
          <w:tcPr>
            <w:tcW w:type="dxa" w:w="1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Provider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Identity verification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MLRs 2017 Reg 28 — verify identity before business relationship</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Electronic identity verification (photo ID + liveness)</w:t>
            </w:r>
          </w:p>
        </w:tc>
        <w:tc>
          <w:tcPr>
            <w:tcW w:type="dxa" w:w="1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Onfido or Jumio</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PEP/Sanctions screening</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MLRs 2017 — check against PEPs, sanctions, adverse media</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 screening at onboarding + ongoing monitoring</w:t>
            </w:r>
          </w:p>
        </w:tc>
        <w:tc>
          <w:tcPr>
            <w:tcW w:type="dxa" w:w="1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ComplyAdvantage or Dow Jones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Source of funds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MLRs 2017 — enhanced DD for high-risk customers</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Automated SOF declaration above threshold</w:t>
            </w:r>
          </w:p>
        </w:tc>
        <w:tc>
          <w:tcPr>
            <w:tcW w:type="dxa" w:w="1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 form + manual review workflow</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Transaction monitoring</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MLRs 2017 — monitor for suspicious activity</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 anomaly detection + rules-based alerts</w:t>
            </w:r>
          </w:p>
        </w:tc>
        <w:tc>
          <w:tcPr>
            <w:tcW w:type="dxa" w:w="1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 ML + AWS SageMaker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SAR reporting</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MLRs 2017 — report suspicious activity to NCA</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SAR workflow (internal review → NCA goAML)</w:t>
            </w:r>
          </w:p>
        </w:tc>
        <w:tc>
          <w:tcPr>
            <w:tcW w:type="dxa" w:w="1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NCA goAML API integration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Record keeping</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MLRs 2017 — 5-year retention</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AML records in S3 with 5-year lifecycle policy</w:t>
            </w:r>
          </w:p>
        </w:tc>
        <w:tc>
          <w:tcPr>
            <w:tcW w:type="dxa" w:w="1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S3 Intelligent-Tiering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FCA authorisation take for a UK FinTech?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authorisation timeline: (1) Full FCA authorisation (e.g., payment institution, credit broker, investment firm): 12–18 months from application submission. (2) FCA Sandbox (Regulatory Sandbox): 3–6 months (faster — restricted authorisation for testing). (3) AISP registration (for Open Banking AISP — no money movement): 4–8 weeks. (4) Credit Broker registration (introducing customers to lenders): 2–4 months. Software preparation for FCA application: ClickMasters builds compliance-ready systems before FCA submission — FCA technical review (IT questionnaire) covers PS21/3 architecture, DTAC-equivalent security controls, and AML system documentation. Poorly prepared IT systems are a top reason for FCA application delays. ClickMasters IT questionnaire preparation: 2–4 weeks, included in project scope for FCA-regulated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FCA COBS and Consumer Duty?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COBS (Conduct of Business Sourcebook): detailed prescriptive rules for specific business areas (COBS 4 — financial promotions, COBS 6 — advised services disclosure, COBS 9 — suitability, COBS 14 — information to clients). Consumer Duty PS22/9: overarching outcome-based standard — requires firms to deliver good outcomes across all four outcomes (products/services, price/value, understanding, support). Relationship: Consumer Duty is additional to, not a replacement for, COBS. A firm must comply with both. Software implication: (1) COBS generates specific functional requirements (suitability report field, disclosure timing, information document format), (2) Consumer Duty generates design principles (readability, accessibility, cancellation ease) that apply across the entire product. ClickMasters builds both into software design — COBS requirements as acceptance criteria, Consumer Duty as design principles.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color w:val="1A4A8A"/>
          <w:sz w:val="22"/>
          <w:szCs w:val="22"/>
        </w:rPr>
        <w:t xml:space="preserve">FCA PS21/3 Guide UK: /fca-ps21-3-operational-resilience-guide/</w:t>
      </w:r>
    </w:p>
    <w:p>
      <w:pPr>
        <w:pStyle w:val="ListParagraph"/>
        <w:numPr>
          <w:ilvl w:val="0"/>
          <w:numId w:val="3"/>
        </w:numPr>
        <w:spacing w:after="60" w:before="60"/>
      </w:pPr>
      <w:r>
        <w:rPr>
          <w:rFonts w:ascii="Arial" w:cs="Arial" w:eastAsia="Arial" w:hAnsi="Arial"/>
          <w:color w:val="1A4A8A"/>
          <w:sz w:val="22"/>
          <w:szCs w:val="22"/>
        </w:rPr>
        <w:t xml:space="preserve">UK Software Architecture Guide: /uk-software-architecture-guide/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FCA Compliance Review</w:t>
            </w:r>
          </w:p>
          <w:p>
            <w:pPr>
              <w:spacing w:after="160" w:before="0"/>
            </w:pPr>
            <w:r>
              <w:rPr>
                <w:rFonts w:ascii="Arial" w:cs="Arial" w:eastAsia="Arial" w:hAnsi="Arial"/>
                <w:color w:val="BDD0E8"/>
                <w:sz w:val="22"/>
                <w:szCs w:val="22"/>
              </w:rPr>
              <w:t xml:space="preserve">ClickMasters will review your product against FCA Consumer Duty, PS21/3, and AML requirements.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FinTech compliance specialist — 40+ FCA-regulated products built</w:t>
            </w:r>
          </w:p>
          <w:p>
            <w:pPr>
              <w:spacing w:after="0" w:before="0"/>
            </w:pPr>
            <w:r>
              <w:rPr>
                <w:rFonts w:ascii="Arial" w:cs="Arial" w:eastAsia="Arial" w:hAnsi="Arial"/>
                <w:color w:val="1A2332"/>
                <w:sz w:val="20"/>
                <w:szCs w:val="20"/>
              </w:rPr>
              <w:t xml:space="preserve">ClickMasters builds FCA compliance into software from Sprint 1. Compliance is not a retrofit — it is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fintech compliance guide"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2026-06-05T12:10:19.365Z</dcterms:created>
  <dcterms:modified xsi:type="dcterms:W3CDTF">2026-06-05T12:10:19.365Z</dcterms:modified>
</cp:coreProperties>
</file>

<file path=docProps/custom.xml><?xml version="1.0" encoding="utf-8"?>
<Properties xmlns="http://schemas.openxmlformats.org/officeDocument/2006/custom-properties" xmlns:vt="http://schemas.openxmlformats.org/officeDocument/2006/docPropsVTypes"/>
</file>