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Stockholm | UK Agency | ClickMasters
META DESC: Custom software for Stockholm. UK-based agency.
SLUG: /custom-software-development-stockholm/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Custom Software Stockholm</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Stockholm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Stockholm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Sweden / Nordic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Stockholm businesses. Data protection addressed upfront. GBP12,000--GBP200,000+.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Stockholm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Stockholm is Scandinavia largest technology hub and produces more billion-dollar technology companies per capita than any region outside Silicon Valley. Spotify, King, Mojang (Minecraft), Klarna, and iZettle were all founded in Stockholm. Sweden has EU adequacy status under UK GDPR.</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Spotify HQ Stockholm, Klarna HQ Stockholm (BNPL -- Europe most valuable FinTech), King HQ (Candy Crush), Mojang HQ (Minecraft), iZettle (card payments -- PayPal acquired), Bambora HQ, Trustly HQ (Open Banking), Epidemic Sound HQ</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Sweden is EU member state -- EU adequacy under UK GDPR. UK-Sweden transfers permitted without SCCs. IMY (Integritetsskyddsmyndigheten) enforces GDPR. SEK, EUR, or GBP invoicing. CET (UTC+1 winter, UTC+2 summer) -- excellent UK overlap.</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transfer requirements addressed upfront.</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Stockholm?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Stockholm</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stockholm"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2026-06-06T13:11:58.670Z</dcterms:created>
  <dcterms:modified xsi:type="dcterms:W3CDTF">2026-06-06T13:11:58.670Z</dcterms:modified>
</cp:coreProperties>
</file>

<file path=docProps/custom.xml><?xml version="1.0" encoding="utf-8"?>
<Properties xmlns="http://schemas.openxmlformats.org/officeDocument/2006/custom-properties" xmlns:vt="http://schemas.openxmlformats.org/officeDocument/2006/docPropsVTypes"/>
</file>