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PropTech Letting Management SaaS -- UK Build-to-Rent -- ClickMasters Case Study
META DESC: UK Build-to-Rent operator managing 8,400 residential units across 28 sites needed unified letting management S...
SLUG: /case-studies/proptech-letting-management-saas-build-to-rent/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May 2026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PropTech Letting Management SaaS -- UK Build-to-Rent</w:t>
      </w:r>
    </w:p>
    <w:p>
      <w:pPr>
        <w:spacing w:after="60" w:before="60"/>
      </w:pPr>
    </w:p>
    <w:p>
      <w:pPr>
        <w:pStyle w:val="Heading1"/>
        <w:spacing w:after="160" w:before="360"/>
      </w:pPr>
      <w:r>
        <w:rPr>
          <w:rFonts w:ascii="Arial" w:cs="Arial" w:eastAsia="Arial" w:hAnsi="Arial"/>
          <w:b/>
          <w:bCs/>
          <w:color w:val="0B1F3A"/>
          <w:sz w:val="40"/>
          <w:szCs w:val="40"/>
        </w:rPr>
        <w:t xml:space="preserve">PropTech Letting Management SaaS -- UK Build-to-Rent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PropTech / Build-to-Rent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PropTech / Build-to-Rent | Tech: React, React Native (Expo), Node.js/Fastify, PostgreSQL, TDS API, GOV.UK Right to Rent API, DocuSign, GoCardless VRP, Experian credit API, GOV.UK Notify, AWS eu-west-2 | Compliance: Homes Act 2018, Housing Act 1988 (ASTs), Right to Rent (Immigration Act 2014), TDS, Housing Act 2004, CMA unfair terms, UK GDPR, WCAG 2.1 AA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UK Build-to-Rent operator managing 8,400 residential units across 28 sites needed unified letting management SaaS -- replacing Excel tenancy tracking, paper Right to Rent checks, and manual TDS registration. Homes Act 2018, Housing Act 1988 (ASTs), Right to Rent, TDS, CMA unfair terms, UK GDPR, WCAG 2.1 AA. Budget GBP120,000.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AST Digital Workflow: </w:t>
      </w:r>
      <w:r>
        <w:rPr>
          <w:rFonts w:ascii="Arial" w:cs="Arial" w:eastAsia="Arial" w:hAnsi="Arial"/>
          <w:b w:val="false"/>
          <w:bCs w:val="false"/>
          <w:i w:val="false"/>
          <w:iCs w:val="false"/>
          <w:color w:val="1A2332"/>
          <w:sz w:val="22"/>
          <w:szCs w:val="22"/>
        </w:rPr>
        <w:t xml:space="preserve">(1) tenant application (income verification, credit check via Experian API, employment reference), (2) Right to Rent check (GOV.UK share code for non-UK nationals, document upload for UK nationals), (3) AST generation (automated -- Homes Act compliance clauses included), (4) e-signature (DocuSign), (5) deposit registration (TDS API -- mandatory within 30 days). CMA guidelines: AST terms reviewed against CMA unfair terms -- prohibited clauses removed.</w:t>
      </w:r>
    </w:p>
    <w:p>
      <w:pPr>
        <w:spacing w:after="160" w:before="100"/>
      </w:pPr>
      <w:r>
        <w:rPr>
          <w:rFonts w:ascii="Arial" w:cs="Arial" w:eastAsia="Arial" w:hAnsi="Arial"/>
          <w:b/>
          <w:bCs/>
          <w:i w:val="false"/>
          <w:iCs w:val="false"/>
          <w:color w:val="E8612A"/>
          <w:sz w:val="22"/>
          <w:szCs w:val="22"/>
        </w:rPr>
        <w:t xml:space="preserve">Right to Rent Compliance: </w:t>
      </w:r>
      <w:r>
        <w:rPr>
          <w:rFonts w:ascii="Arial" w:cs="Arial" w:eastAsia="Arial" w:hAnsi="Arial"/>
          <w:b w:val="false"/>
          <w:bCs w:val="false"/>
          <w:i w:val="false"/>
          <w:iCs w:val="false"/>
          <w:color w:val="1A2332"/>
          <w:sz w:val="22"/>
          <w:szCs w:val="22"/>
        </w:rPr>
        <w:t xml:space="preserve">(1) GOV.UK Right to Rent online service -- share code verification, (2) document-based check (passport, BRP, visa -- scanned and uploaded), (3) time-limited right tracking (visa expiry -- 90-day automated reminder), (4) record keeping (tenancy duration + 1 year), (5) Home Office reporting (if check fails -- reporting obligation). Right to Rent failure does not give automatic right to evict -- lawful eviction process required.</w:t>
      </w:r>
    </w:p>
    <w:p>
      <w:pPr>
        <w:spacing w:after="160" w:before="100"/>
      </w:pPr>
      <w:r>
        <w:rPr>
          <w:rFonts w:ascii="Arial" w:cs="Arial" w:eastAsia="Arial" w:hAnsi="Arial"/>
          <w:b/>
          <w:bCs/>
          <w:i w:val="false"/>
          <w:iCs w:val="false"/>
          <w:color w:val="E8612A"/>
          <w:sz w:val="22"/>
          <w:szCs w:val="22"/>
        </w:rPr>
        <w:t xml:space="preserve">TDS Deposit Protection: </w:t>
      </w:r>
      <w:r>
        <w:rPr>
          <w:rFonts w:ascii="Arial" w:cs="Arial" w:eastAsia="Arial" w:hAnsi="Arial"/>
          <w:b w:val="false"/>
          <w:bCs w:val="false"/>
          <w:i w:val="false"/>
          <w:iCs w:val="false"/>
          <w:color w:val="1A2332"/>
          <w:sz w:val="22"/>
          <w:szCs w:val="22"/>
        </w:rPr>
        <w:t xml:space="preserve">(1) deposit received via GoCardless -- ring-fenced, (2) TDS REST API auto-registration on receipt, (3) Deposit Protection Certificate to tenant (GOV.UK Notify), (4) Prescribed Information within 30 days, (5) check-out deductions (inventory report, TDS arbitration for disputes). Housing Act 2004: failure to register within 30 days = 3x deposit fine.</w:t>
      </w:r>
    </w:p>
    <w:p>
      <w:pPr>
        <w:spacing w:after="160" w:before="100"/>
      </w:pPr>
      <w:r>
        <w:rPr>
          <w:rFonts w:ascii="Arial" w:cs="Arial" w:eastAsia="Arial" w:hAnsi="Arial"/>
          <w:b/>
          <w:bCs/>
          <w:i w:val="false"/>
          <w:iCs w:val="false"/>
          <w:color w:val="E8612A"/>
          <w:sz w:val="22"/>
          <w:szCs w:val="22"/>
        </w:rPr>
        <w:t xml:space="preserve">BTR Tenant Portal: </w:t>
      </w:r>
      <w:r>
        <w:rPr>
          <w:rFonts w:ascii="Arial" w:cs="Arial" w:eastAsia="Arial" w:hAnsi="Arial"/>
          <w:b w:val="false"/>
          <w:bCs w:val="false"/>
          <w:i w:val="false"/>
          <w:iCs w:val="false"/>
          <w:color w:val="1A2332"/>
          <w:sz w:val="22"/>
          <w:szCs w:val="22"/>
        </w:rPr>
        <w:t xml:space="preserve">(1) rent payment (GoCardless VRP -- monthly bank-to-bank), (2) maintenance requests (React Native -- photo + description, priority triage), (3) maintenance tracking (GOV.UK Notify status updates), (4) document vault (AST, deposit certificate, house manual), (5) community board (opt-in, GDPR consent required). Homes Act category 1 hazard (damp, mould, heating failure): automatic emergency 24-hour SLA.</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Platform live at 20 weeks, GBP112,000. 8,400 units, 28 sites. TDS 100% within 30 days (zero penalties). Right to Rent 100% digital. AST e-signature 94.2%. Deposit dispute rate 2.4% vs 8% industry. Maintenance response 4.2 hours vs 18.2. Homes Act 284 escalations all resolved within 24 hours. WCAG zero.</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"TDS 100% within 30 days -- zero penalties. Deposit dispute 2.4% vs 8% industry. Maintenance 4.2 vs 18.2 hours. Homes Act 284 escalations all within 24 hours. The Homes Act escalation automation -- damp/mould/heating automatically flagged as category 1 -- prevents legal liability. A Homes Act category 1 hazard unresolved is a civil claim against the landlord. ClickMasters automated the triage that prevents those claims." -- Group Operations Director, UK BTR Operator</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React Native (Expo), Node.js/Fastify, PostgreSQL, TDS API, GOV.UK Right to Rent API, DocuSign, GoCardless VRP, Experian credit API, GOV.UK Notify,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Homes Act 2018, Housing Act 1988 (ASTs), Right to Rent (Immigration Act 2014), TDS, Housing Act 2004, CMA unfair terms, UK GDPR, WCAG 2.1 AA</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build to rent saas uk proptech, letting management platform uk asr tds right to rent</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2026-06-06T13:34:29.207Z</dcterms:created>
  <dcterms:modified xsi:type="dcterms:W3CDTF">2026-06-06T13:34:29.207Z</dcterms:modified>
</cp:coreProperties>
</file>

<file path=docProps/custom.xml><?xml version="1.0" encoding="utf-8"?>
<Properties xmlns="http://schemas.openxmlformats.org/officeDocument/2006/custom-properties" xmlns:vt="http://schemas.openxmlformats.org/officeDocument/2006/docPropsVTypes"/>
</file>