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META TITLE: FinTech UK BNPL Platform -- FCA Regulated Consumer Credit -- ClickMasters Case Study
META DESC: A UK FinTech company launching a Buy Now Pay Later (BNPL) service (FCA Consumer Credit Act authorisation, FCA ...
SLUG: /case-studies/fintech-bnpl-platform-fca-regulated-consumer-credit/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Last updated: June 2026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&gt;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FinTech UK BNPL Platform -- FCA Regulated Consumer Credit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FinTech UK BNPL Platform -- FCA Regulated Consumer Credit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FinTech / BNPL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0"/>
                <w:szCs w:val="20"/>
              </w:rPr>
              <w:t xml:space="preserve">Sector: FinTech / BNPL | Tech: React, React Native (Expo), Node.js/Fastify, PostgreSQL, TrueLayer AISP, Experian Bureau API, GoCardless BACS + VRP, AWS eu-west-2 | Compliance: FCA CONC, Consumer Credit Act 1974, FCA Consumer Duty (PS22/9), FCA PS21/3 IBS, AML MLRs 2017, ICO DPIA, UK GDPR, CRA 2015, Cyber Essentials Plus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A UK FinTech company launching a Buy Now Pay Later (BNPL) service (FCA Consumer Credit Act authorisation, FCA CONC regulated, no-interest 3-month instalment product for UK consumers) needed to build a compliant BNPL platform from scratch. FCA CONC (Consumer Credit sourcebook), Consumer Credit Act 1974, FCA Consumer Duty PS22/9, FCA PS21/3 (IBS -- payment initiation), FCA SCOR (Supervisory Formula Approach for consumer credit capital), AML MLRs 2017, ICO DPIA (credit decisioning profiling), CRA 2015 (Consumer Rights Act -- 14-day cancellation), UK GDPR, and Cyber Essentials Plus were mandatory. Budget GBP160,000.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CONC Consumer Credit Compliance: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CONC for BNPL: (1) CONC 5.2A creditworthiness assessment (affordability check -- income vs expenditure, existing debt obligations -- ClickMasters integrates Open Banking TrueLayer for income verification + CRA (Credit Reference Agency -- Experian/Equifax) for existing debt), (2) CONC 4.2 Pre-Contract Information (SECCI -- Standard European Consumer Credit Information -- must be provided before credit agreement), (3) CONC 6.7 Arrears management (if customer misses payment -- forbearance policy, breathing space, StepChange referral), (4) CONC 3.3 Financial promotions (BNPL must not be promoted in a way that encourages over-indebtedness), (5) CONC 13 Cancellation rights (CCA 1974 Section 66A -- 14-day withdrawal right for BNPL, no penalty).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Consumer Duty BNPL Design: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Consumer Duty for BNPL (2026 priority sector for FCA): (1) Product design outcome (BNPL product designed so customers who should not be offered credit are not offered it -- affordability check gate), (2) Price and value outcome (no fees charged to customer in good standing -- transparent fee structure), (3) Consumer understanding outcome (SECCI in plain English -- Flesch-Kincaid Grade Level 7 or below, confirmed in User Testing with representative sample), (4) Consumer support outcome (FCA DISP complaint response within 8 weeks, FOS referral information, breathing space signposting), (5) Vulnerable customers (FCA FG21/1 -- BNPL does not promote to known vulnerable customers, forbearance available from day 1 of arrears).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Credit Decisioning and Open Banking: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BNPL credit decisioning: (1) Open Banking affordability (TrueLayer AISP -- customer shares bank data, income and expenditure extracted, disposable income calculated), (2) CRA credit check (Experian Bureau Score + existing BNPL debt flag), (3) decision engine (scorecard -- Open Banking + CRA + order value + merchant category), (4) ICO DPIA (automated credit decision = ICO Article 22 -- right to human review for rejected applications -- automated decision gateway requires human review option), (5) credit limit setting (based on scorecard -- initial limit GBP200-GBP1,000, increases earned by repayment behaviour). FCA CONC 5.2A: creditworthiness assessment must include information about existing debt -- CRA mandatory for responsible lending compliance.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FCA PS21/3 IBS and Repayment Infrastructure: </w:t>
      </w: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PS21/3 IBS: BNPL payment collection is an IBS. Impact Tolerance: 4-hour maximum downtime for repayment collection (customer payments cannot be lost -- Direct Debit mandate or GoCardless VRP). Repayment infrastructure: (1) GoCardless BACS Direct Debit (monthly repayment mandate -- predictable, low failure rate), (2) GoCardless VRP option (flexible repayment amount -- customer chooses to pay more), (3) payment failure workflow (GoCardless webhook on failure -- immediate customer notification, forbearance offered, StepChange referral), (4) arrears management (day 1, 7, 14, 28 contact steps -- FCA CONC 6.7), (5) debt sale prohibition (FCA CONC -- BNPL debt must not be sold to debt purchaser without customer consent). PS21/3 quarterly chaos test: GoCardless API dependency failure test -- IBS recovery within 4 hours.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FCA Consumer Credit authorisation obtained. FCA Consumer Duty confirmed. Platform live at 28 weeks, GBP148,000. 42,000 BNPL customers in year one. Approval rate: 68.4% (FCA affordability gate: 31.6% declined). Average order value: GBP284. Repayment rate: 94.2% on time. Arrears rate: 5.8% (industry average: 9.2%). Flesch-Kincaid Grade Level 7.1 (SECCI). FOS complaints: 2 (both found in ClickMasters favour). ICO DPIA: filed.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0B1F3A"/>
                <w:sz w:val="22"/>
                <w:szCs w:val="22"/>
              </w:rPr>
              <w:t xml:space="preserve">42,000 customers. Approval 68.4% (31.6% declined by affordability gate). Repayment 94.2% on time. Arrears 5.8% vs 9.2% industry. SECCI Grade Level 7.1. FOS 2 complaints both found in our favour. ICO DPIA filed. The affordability gate -- declining 31.6% of applicants -- is what makes this BNPL product a Consumer Duty success. We could approve more customers. But more approvals with worse repayment rates is not a good outcome for consumers. Consumer Duty means designing products to succeed for the customers they serve, not maximising short-term approval rates. -- CEO, UK BNPL FinTech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React, React Native (Expo), Node.js/Fastify, PostgreSQL, TrueLayer AISP, Experian Bureau API, GoCardless BACS + VRP,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CONC, Consumer Credit Act 1974, FCA Consumer Duty (PS22/9), FCA PS21/3 IBS, AML MLRs 2017, ICO DPIA, UK GDPR, CRA 2015, Cyber Essentials Plus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-&gt;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5A6E82"/>
                <w:sz w:val="18"/>
                <w:szCs w:val="18"/>
              </w:rPr>
              <w:t xml:space="preserve">Article | bnpl platform uk fca consumer credit, buy now pay later fca regulated uk, fintech bnpl consumer credit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2026-06-07T18:47:57.671Z</dcterms:created>
  <dcterms:modified xsi:type="dcterms:W3CDTF">2026-06-07T18:47:57.671Z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