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UK Companies House Digital Filing Service -- ClickMasters Case Study
META DESC: UK accountancy SaaS needed Companies House API integration -- digital company formation, confirmation statemen...
SLUG: /case-studies/govtech-companies-house-digital-filing/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UK Companies House Digital Filing Service</w:t>
      </w:r>
    </w:p>
    <w:p>
      <w:pPr>
        <w:spacing w:after="60" w:before="60"/>
      </w:pPr>
    </w:p>
    <w:p>
      <w:pPr>
        <w:pStyle w:val="Heading1"/>
        <w:spacing w:after="160" w:before="360"/>
      </w:pPr>
      <w:r>
        <w:rPr>
          <w:rFonts w:ascii="Arial" w:cs="Arial" w:eastAsia="Arial" w:hAnsi="Arial"/>
          <w:b/>
          <w:bCs/>
          <w:color w:val="0B1F3A"/>
          <w:sz w:val="40"/>
          <w:szCs w:val="40"/>
        </w:rPr>
        <w:t xml:space="preserve">GovTech UK Companies House Digital Filing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Companies House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Companies House | Tech: React, Node.js/Fastify, PostgreSQL, Companies House REST API v3.0, Companies House Filing API, HMRC MTD CT API, iXBRL generation, GOV.UK Notify, AWS eu-west-2 | Compliance: Companies House REST API, Companies House Filing API, HMRC MTD Corporation Tax, UK GDPR,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UK accountancy SaaS needed Companies House API integration -- digital company formation, confirmation statement, annual accounts, director changes. Companies House REST API v3.0, Companies House Filing API, HMRC MTD Corporation Tax, UK GDPR (director personal data), WCAG 2.1 AA. Budget GBP90,000.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Companies House REST API v3.0: </w:t>
      </w:r>
      <w:r>
        <w:rPr>
          <w:rFonts w:ascii="Arial" w:cs="Arial" w:eastAsia="Arial" w:hAnsi="Arial"/>
          <w:b w:val="false"/>
          <w:bCs w:val="false"/>
          <w:color w:val="1A2332"/>
          <w:sz w:val="22"/>
          <w:szCs w:val="22"/>
        </w:rPr>
        <w:t xml:space="preserve">(1) Company search (name or number), (2) company profile (address, SIC codes, status, incorporation), (3) officers (directors, secretaries, appointments), (4) PSC persons with significant control (beneficial ownership), (5) filing history (all filed documents). OAuth 2.0 for write operations, API key for read-only. Rate limits: 600 requests per 5 minutes. Director personal data (name, birth month/year, nationality) is public under Companies Act 2006.</w:t>
      </w:r>
    </w:p>
    <w:p>
      <w:pPr>
        <w:spacing w:after="160" w:before="100"/>
      </w:pPr>
      <w:r>
        <w:rPr>
          <w:rFonts w:ascii="Arial" w:cs="Arial" w:eastAsia="Arial" w:hAnsi="Arial"/>
          <w:b/>
          <w:bCs/>
          <w:color w:val="E8612A"/>
          <w:sz w:val="22"/>
          <w:szCs w:val="22"/>
        </w:rPr>
        <w:t xml:space="preserve">Companies House Filing API: </w:t>
      </w:r>
      <w:r>
        <w:rPr>
          <w:rFonts w:ascii="Arial" w:cs="Arial" w:eastAsia="Arial" w:hAnsi="Arial"/>
          <w:b w:val="false"/>
          <w:bCs w:val="false"/>
          <w:color w:val="1A2332"/>
          <w:sz w:val="22"/>
          <w:szCs w:val="22"/>
        </w:rPr>
        <w:t xml:space="preserve">Supported filings: (1) Company formation (IN01 -- name, office, directors, shares, SIC), (2) Confirmation statement (CS01 -- annual -- shareholder details, SIC update), (3) Annual accounts (AA -- micro-entity, small, full -- iXBRL), (4) Director appointment (AP01), director termination (TM01), (5) Registered office change (AD01). iXBRL: Companies House accepts inline XBRL tagged accounts. Auto-reminder via GOV.UK Notify 2 weeks before confirmation statement due.</w:t>
      </w:r>
    </w:p>
    <w:p>
      <w:pPr>
        <w:spacing w:after="160" w:before="100"/>
      </w:pPr>
      <w:r>
        <w:rPr>
          <w:rFonts w:ascii="Arial" w:cs="Arial" w:eastAsia="Arial" w:hAnsi="Arial"/>
          <w:b/>
          <w:bCs/>
          <w:color w:val="E8612A"/>
          <w:sz w:val="22"/>
          <w:szCs w:val="22"/>
        </w:rPr>
        <w:t xml:space="preserve">HMRC MTD Corporation Tax: </w:t>
      </w:r>
      <w:r>
        <w:rPr>
          <w:rFonts w:ascii="Arial" w:cs="Arial" w:eastAsia="Arial" w:hAnsi="Arial"/>
          <w:b w:val="false"/>
          <w:bCs w:val="false"/>
          <w:color w:val="1A2332"/>
          <w:sz w:val="22"/>
          <w:szCs w:val="22"/>
        </w:rPr>
        <w:t xml:space="preserve">MTD CT mandatory for accounting periods starting April 2026. MTD CT API: obligation periods, CT600 digital submission, payment API, tax position. iXBRL accounts: same tagged accounts used for both Companies House and HMRC CT600 -- single generation workflow. ClickMasters builds iXBRL from structured P&amp;L and balance sheet data.</w:t>
      </w:r>
    </w:p>
    <w:p>
      <w:pPr>
        <w:spacing w:after="160" w:before="100"/>
      </w:pPr>
      <w:r>
        <w:rPr>
          <w:rFonts w:ascii="Arial" w:cs="Arial" w:eastAsia="Arial" w:hAnsi="Arial"/>
          <w:b/>
          <w:bCs/>
          <w:color w:val="E8612A"/>
          <w:sz w:val="22"/>
          <w:szCs w:val="22"/>
        </w:rPr>
        <w:t xml:space="preserve">UK GDPR for Director Personal Data: </w:t>
      </w:r>
      <w:r>
        <w:rPr>
          <w:rFonts w:ascii="Arial" w:cs="Arial" w:eastAsia="Arial" w:hAnsi="Arial"/>
          <w:b w:val="false"/>
          <w:bCs w:val="false"/>
          <w:color w:val="1A2332"/>
          <w:sz w:val="22"/>
          <w:szCs w:val="22"/>
        </w:rPr>
        <w:t xml:space="preserve">Director data at Companies House is public (Companies Act 2006). However: (1) home address suppression (directors can suppress -- service address shown publicly), (2) DOB suppression (month/year only public), (3) legitimate interest for due diligence processing, (4) PECR applies to marketing use without consent, (5) SAR: individuals can request removal where data is inaccurate or they qualify for suppression. ClickMasters accountancy SaaS: purpose limitation, retention policy, suppression support.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18 weeks, GBP84,000. Company formations 100% digital. Confirmation statements automated. MTD CT iXBRL 100% compliant. Director notifications automated. WCAG confirmed. NPS 82.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iXBRL generation -- producing HMRC and Companies House compliant tagged accounts from structured financial data -- was the feature that converted accountancy practices. Accountants spend 2-4 hours per year per client on iXBRL tagging. Automated, it takes 3 seconds. For a practice with 200 clients that is 400-800 hours recovered annually. -- CEO, UK Accountancy SaaS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Companies House REST API v3.0, Companies House Filing API, HMRC MTD CT API, iXBRL generation,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Companies House REST API, Companies House Filing API, HMRC MTD Corporation Tax, UK GDPR,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companies house api integration uk digital filing, govtech companies house saas uk, accountancy saas companies house hmrc mtd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2026-06-08T10:54:27.695Z</dcterms:created>
  <dcterms:modified xsi:type="dcterms:W3CDTF">2026-06-08T10:54:27.695Z</dcterms:modified>
</cp:coreProperties>
</file>

<file path=docProps/custom.xml><?xml version="1.0" encoding="utf-8"?>
<Properties xmlns="http://schemas.openxmlformats.org/officeDocument/2006/custom-properties" xmlns:vt="http://schemas.openxmlformats.org/officeDocument/2006/docPropsVTypes"/>
</file>