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to Build a SaaS Product in the UK — Complete Developer Guide 2025 | ClickMasters
META DESC: Building a SaaS product in the UK takes 8–32 weeks depending on complexity. The most important decisions are made before writing a single line of code: multi-te...
SLUG: /how-to-build-saas-product-uk/
SCHEMA: HowTo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SaaS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to Build a SaaS Product in the UK — Complete Developer Guide 2025</w:t>
      </w:r>
    </w:p>
    <w:p>
      <w:pPr>
        <w:spacing w:after="60" w:before="60"/>
      </w:pPr>
    </w:p>
    <w:p>
      <w:pPr>
        <w:pStyle w:val="Heading1"/>
        <w:spacing w:after="160" w:before="360"/>
      </w:pPr>
      <w:r>
        <w:rPr>
          <w:rFonts w:ascii="Arial" w:cs="Arial" w:eastAsia="Arial" w:hAnsi="Arial"/>
          <w:b/>
          <w:bCs/>
          <w:color w:val="0B1F3A"/>
          <w:sz w:val="40"/>
          <w:szCs w:val="40"/>
        </w:rPr>
        <w:t xml:space="preserve">How to Build a SaaS Product in the UK — From Architecture to Launch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UK-Focused Guide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Step-by-Step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Building a SaaS product in the UK takes 8–32 weeks depending on complexity. The most important decisions are made before writing a single line of code: multi-tenancy model (shared schema vs separate database), billing architecture (Stripe vs GoCardless, per-seat vs usage-based), UK GDPR Article 28 compliance (you are a data processor for your customers), and data residency (AWS eu-west-2 London or Azure UK South). Costs: £35,000–£200,000 for a production-ready B2B SaaS platform.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Building a SaaS product involves decisions that cannot easily be changed later: multi-tenancy architecture, billing model, data isolation approach, and UK GDPR compliance architecture. Getting these right from day one saves months of rework. This guide walks UK founders and product teams through the complete SaaS build process — from architecture decision to first paying customer.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Step-by-Step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Define Your SaaS Model (Week 1)</w:t>
            </w:r>
          </w:p>
          <w:p>
            <w:pPr>
              <w:spacing w:after="0" w:before="0"/>
            </w:pPr>
            <w:r>
              <w:rPr>
                <w:rFonts w:ascii="Arial" w:cs="Arial" w:eastAsia="Arial" w:hAnsi="Arial"/>
                <w:color w:val="1A2332"/>
                <w:sz w:val="22"/>
                <w:szCs w:val="22"/>
              </w:rPr>
              <w:t xml:space="preserve">Answer these before writing code: Who is your customer (B2B or B2C)? What is your pricing model (per seat, flat rate, usage-based, freemium)? What is your tenant model (shared schema or separate database)? What are your UK GDPR obligations (you are almost certainly a data processor under Article 28)? What integrations are required (SSO with Microsoft/Google, Xero, Salesforce)? These decisions determine your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Choose Your Multi-Tenancy Architecture (Week 1–2)</w:t>
            </w:r>
          </w:p>
          <w:p>
            <w:pPr>
              <w:spacing w:after="0" w:before="0"/>
            </w:pPr>
            <w:r>
              <w:rPr>
                <w:rFonts w:ascii="Arial" w:cs="Arial" w:eastAsia="Arial" w:hAnsi="Arial"/>
                <w:color w:val="1A2332"/>
                <w:sz w:val="22"/>
                <w:szCs w:val="22"/>
              </w:rPr>
              <w:t xml:space="preserve">Three options: Shared Database / Shared Schema — row-level security, most cost-efficient, highest isolation risk (best for high-volume B2C); Shared Database / Separate Schema — schema-per-tenant, good cost/isolation balance (best for mid-market B2B); Separate Database — maximum isolation, highest infrastructure cost (required for NHS, financial services, regulated B2B). UK GDPR Note: health data (Article 9) requires separate database per tenant.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Design Your UK GDPR Compliance Architecture (Week 2)</w:t>
            </w:r>
          </w:p>
          <w:p>
            <w:pPr>
              <w:spacing w:after="0" w:before="0"/>
            </w:pPr>
            <w:r>
              <w:rPr>
                <w:rFonts w:ascii="Arial" w:cs="Arial" w:eastAsia="Arial" w:hAnsi="Arial"/>
                <w:color w:val="1A2332"/>
                <w:sz w:val="22"/>
                <w:szCs w:val="22"/>
              </w:rPr>
              <w:t xml:space="preserve">As a SaaS provider, you are a data processor under UK GDPR Article 28. You must: include a Data Processing Agreement (DPA) in your Terms of Service, implement data subject rights (erasure, access, portability) at the tenant level, use UK-region cloud infrastructure (AWS eu-west-2 or Azure UK South) for UK customers, and maintain an Article 30 record of processing. GDPR Article 28 DPA template must be in place before onboarding any customer.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Set Up Billing Infrastructure (Week 2–3)</w:t>
            </w:r>
          </w:p>
          <w:p>
            <w:pPr>
              <w:spacing w:after="0" w:before="0"/>
            </w:pPr>
            <w:r>
              <w:rPr>
                <w:rFonts w:ascii="Arial" w:cs="Arial" w:eastAsia="Arial" w:hAnsi="Arial"/>
                <w:color w:val="1A2332"/>
                <w:sz w:val="22"/>
                <w:szCs w:val="22"/>
              </w:rPr>
              <w:t xml:space="preserve">Stripe for B2C and most B2B SaaS (card payments, GoCardless for direct debit B2B). Configure: subscription plans, trial period, proration, dunning (failed payment handling), customer portal for self-service management. Stripe Checkout or Stripe Elements for PCI-DSS scope reduction. Stripe Tax for UK VAT compliance (20% standard rate, digital services rules).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Build Core Platform (Weeks 4–N)</w:t>
            </w:r>
          </w:p>
          <w:p>
            <w:pPr>
              <w:spacing w:after="0" w:before="0"/>
            </w:pPr>
            <w:r>
              <w:rPr>
                <w:rFonts w:ascii="Arial" w:cs="Arial" w:eastAsia="Arial" w:hAnsi="Arial"/>
                <w:color w:val="1A2332"/>
                <w:sz w:val="22"/>
                <w:szCs w:val="22"/>
              </w:rPr>
              <w:t xml:space="preserve">Build in this order: auth and user management (with team invites for B2B), tenant onboarding flow, core product feature set (the one thing your SaaS does better than alternatives), billing integration with upgrade/downgrade/cancellation flows, admin dashboard, API layer with OpenAPI 3.0 documentation. 2-week Scrum sprints. Staging environment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6</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Review and GDPR Audit (2 Weeks Pre-Launch)</w:t>
            </w:r>
          </w:p>
          <w:p>
            <w:pPr>
              <w:spacing w:after="0" w:before="0"/>
            </w:pPr>
            <w:r>
              <w:rPr>
                <w:rFonts w:ascii="Arial" w:cs="Arial" w:eastAsia="Arial" w:hAnsi="Arial"/>
                <w:color w:val="1A2332"/>
                <w:sz w:val="22"/>
                <w:szCs w:val="22"/>
              </w:rPr>
              <w:t xml:space="preserve">OWASP Top 10 security review. UK GDPR DPA in Terms of Service. Privacy Notice. Cookie consent (ICO guidance). Data subject rights implementation tested. Cyber Essentials basic certification if selling to regulated firms or government.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7</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with Analytics (Launch Week)</w:t>
            </w:r>
          </w:p>
          <w:p>
            <w:pPr>
              <w:spacing w:after="0" w:before="0"/>
            </w:pPr>
            <w:r>
              <w:rPr>
                <w:rFonts w:ascii="Arial" w:cs="Arial" w:eastAsia="Arial" w:hAnsi="Arial"/>
                <w:color w:val="1A2332"/>
                <w:sz w:val="22"/>
                <w:szCs w:val="22"/>
              </w:rPr>
              <w:t xml:space="preserve">Instrument: MRR tracking, churn monitoring, feature adoption, customer health scores. UK GDPR: analytics that constitute profiling may require legitimate interest assessment or consent. Use privacy-preserving analytics (Plausible, Fathom) or configure GA4 with consent mode for UK GDPR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cost to build a SaaS product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SaaS MVP: £35,000–£50,000. A full B2B SaaS platform with billing, user management, and APIs: £60,000–£150,000. Enterprise SaaS with SSO, audit logs, and compliance certifications: £100,000–£200,000+. Most SaaS builds qualify for HMRC R&amp;D Tax Credits (up to 27% back) if they involve novel technical approaches.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I handle UK GDPR as a SaaS provider?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You are a data processor for your customers. Required: an Article 28 Data Processing Agreement (DPA) in your terms of service, UK-region data hosting (AWS eu-west-2 or Azure UK South), data subject rights implementation at tenant level (customer must be able to request deletion), Article 30 records of processing, and a Privacy Notice covering your own data collection from users.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use Stripe or GoCardless for SaaS billing?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Stripe for B2C and most B2B (card payments, Apple Pay, Google Pay, wide international support). GoCardless for B2B where direct debit is preferred (lower transaction fees at scale, higher success rates than cards — cards expire, bank accounts don't). Many B2B SaaS products offer both. GoCardless requires UK bank account from customers; Stripe works globally.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Cost UK: /cost-saas-development-uk/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UK vs Offshore Software Development: /uk-vs-offshore-software-development/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MVP Development UK: /mvp-development/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Help Building This</w:t>
            </w:r>
          </w:p>
          <w:p>
            <w:pPr>
              <w:spacing w:after="160" w:before="0"/>
            </w:pPr>
            <w:r>
              <w:rPr>
                <w:rFonts w:ascii="Arial" w:cs="Arial" w:eastAsia="Arial" w:hAnsi="Arial"/>
                <w:color w:val="BDD0E8"/>
                <w:sz w:val="22"/>
                <w:szCs w:val="22"/>
              </w:rPr>
              <w:t xml:space="preserve">Book a free consultation with a ClickMasters specialist. We've built projects like this before.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SaaS Team</w:t>
            </w:r>
          </w:p>
          <w:p>
            <w:pPr>
              <w:spacing w:after="80" w:before="0"/>
            </w:pPr>
            <w:r>
              <w:rPr>
                <w:rFonts w:ascii="Arial" w:cs="Arial" w:eastAsia="Arial" w:hAnsi="Arial"/>
                <w:b/>
                <w:bCs/>
                <w:color w:val="E8612A"/>
                <w:sz w:val="20"/>
                <w:szCs w:val="20"/>
              </w:rPr>
              <w:t xml:space="preserve">How to Build a SaaS Product in the UK specialists</w:t>
            </w:r>
          </w:p>
          <w:p>
            <w:pPr>
              <w:spacing w:after="0" w:before="0"/>
            </w:pPr>
            <w:r>
              <w:rPr>
                <w:rFonts w:ascii="Arial" w:cs="Arial" w:eastAsia="Arial" w:hAnsi="Arial"/>
                <w:color w:val="1A2332"/>
                <w:sz w:val="20"/>
                <w:szCs w:val="20"/>
              </w:rPr>
              <w:t xml:space="preserve">This guide reflects ClickMasters' direct experience building these systems for UK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HowTo + FAQPage + BreadcrumbList | "how to build a saas product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2026-05-22T10:32:13.024Z</dcterms:created>
  <dcterms:modified xsi:type="dcterms:W3CDTF">2026-05-22T10:32:13.024Z</dcterms:modified>
</cp:coreProperties>
</file>

<file path=docProps/custom.xml><?xml version="1.0" encoding="utf-8"?>
<Properties xmlns="http://schemas.openxmlformats.org/officeDocument/2006/custom-properties" xmlns:vt="http://schemas.openxmlformats.org/officeDocument/2006/docPropsVTypes"/>
</file>