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DTAC Compliance Guide for Software Developers UK — NHS App Library | ClickMasters
META DESC: DTAC (Digital Technology Assessment Criteria) explained. 5 domains, mandatory for NHS App Library listing, clinical safety, DSP Toolkit. Free guide for UK HealthTech developers.
SLUG: /dtac-compliance-guide/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HealthTech Team  |  Reviewed by: DTAC-experienced developer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DTAC Compliance Guide UK</w:t>
      </w:r>
    </w:p>
    <w:p>
      <w:pPr>
        <w:spacing w:after="60" w:before="60"/>
      </w:pPr>
    </w:p>
    <w:p>
      <w:pPr>
        <w:pStyle w:val="Heading1"/>
        <w:spacing w:after="160" w:before="360"/>
      </w:pPr>
      <w:r>
        <w:rPr>
          <w:rFonts w:ascii="Arial" w:cs="Arial" w:eastAsia="Arial" w:hAnsi="Arial"/>
          <w:b/>
          <w:bCs/>
          <w:color w:val="0B1F3A"/>
          <w:sz w:val="40"/>
          <w:szCs w:val="40"/>
        </w:rPr>
        <w:t xml:space="preserve">DTAC Compliance Guide for UK Software Developers — NHS App Library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NHS App Library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5 DTAC Domains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DCB0129 Clinical Safety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DSP Toolkit</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ClickMasters HealthTech Specialists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DTAC (Digital Technology Assessment Criteria) is the NHS's mandatory assessment framework for digital health technologies seeking to be listed on the NHS App Library or directly deployed in NHS settings. It has 5 domains: Clinical Safety, Data Protection, Technical Security, Interoperability, and Usability &amp; Accessibility. Achieving DTAC is not quick — plan for 3–6 months from initial assessment to approval for a new product, or 6–14 weeks for a remediation and resubmission. ClickMasters has delivered DTAC-compliant HealthTech applications and supported teams through failed DTAC remediations.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5 DTAC Domains — What Each Requires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Clinical Safety (Domain 1) — DCB0129</w:t>
            </w:r>
          </w:p>
          <w:p>
            <w:pPr>
              <w:spacing w:after="0" w:before="0"/>
            </w:pPr>
            <w:r>
              <w:rPr>
                <w:rFonts w:ascii="Arial" w:cs="Arial" w:eastAsia="Arial" w:hAnsi="Arial"/>
                <w:color w:val="1A2332"/>
                <w:sz w:val="22"/>
                <w:szCs w:val="22"/>
              </w:rPr>
              <w:t xml:space="preserve">Requires a Clinical Safety Officer (CSO) who holds a relevant clinical qualification, a Clinical Risk Management System (CRMS), a Hazard Log documenting all identified clinical risks and their mitigations, and a Clinical Safety Case Report. DCB0129 is the NHS standard that DTAC references. If your technology could influence clinical decision-making — even indirectly — this domain applies in full.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Data Protection (Domain 2) — UK GDPR + DSP Toolkit</w:t>
            </w:r>
          </w:p>
          <w:p>
            <w:pPr>
              <w:spacing w:after="0" w:before="0"/>
            </w:pPr>
            <w:r>
              <w:rPr>
                <w:rFonts w:ascii="Arial" w:cs="Arial" w:eastAsia="Arial" w:hAnsi="Arial"/>
                <w:color w:val="1A2332"/>
                <w:sz w:val="22"/>
                <w:szCs w:val="22"/>
              </w:rPr>
              <w:t xml:space="preserve">Requires: ISO 27001 certification or equivalent evidence, completion of the NHS Data Security and Protection (DSP) Toolkit to "Standards Met" level, a Data Protection Impact Assessment (DPIA) for high-risk processing, a Data Processing Agreement with NHS organisations (Article 28 UK GDPR), and evidence of UK GDPR compliance in your data architecture. Health data is "special category data" under Article 9 — requiring explicit consent or a specific Article 9 exemption.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Security (Domain 3) — Cyber Essentials + Penetration Testing</w:t>
            </w:r>
          </w:p>
          <w:p>
            <w:pPr>
              <w:spacing w:after="0" w:before="0"/>
            </w:pPr>
            <w:r>
              <w:rPr>
                <w:rFonts w:ascii="Arial" w:cs="Arial" w:eastAsia="Arial" w:hAnsi="Arial"/>
                <w:color w:val="1A2332"/>
                <w:sz w:val="22"/>
                <w:szCs w:val="22"/>
              </w:rPr>
              <w:t xml:space="preserve">Requires: Cyber Essentials Plus certification (not Basic), a CREST-certified penetration test (annual), evidence of vulnerability management and patch deployment within 14 days, secure development practices (OWASP), and documented incident response capability. This is the domain most commonly failed by first-time DTAC applicants — Cyber Essentials Plus requires external technical verification.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Interoperability (Domain 4) — FHIR R4 and NHS APIs</w:t>
            </w:r>
          </w:p>
          <w:p>
            <w:pPr>
              <w:spacing w:after="0" w:before="0"/>
            </w:pPr>
            <w:r>
              <w:rPr>
                <w:rFonts w:ascii="Arial" w:cs="Arial" w:eastAsia="Arial" w:hAnsi="Arial"/>
                <w:color w:val="1A2332"/>
                <w:sz w:val="22"/>
                <w:szCs w:val="22"/>
              </w:rPr>
              <w:t xml:space="preserve">If your technology exchanges clinical data with NHS systems, it must use NHS-approved interoperability standards — primarily HL7 FHIR R4 with UK Core profiles. This domain also assesses your integration approach for NHS Spine, GP Connect, NHS Login, and other NHS Digital APIs. If your technology is standalone (no NHS system integration), this domain may not apply in full.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Usability &amp; Accessibility (Domain 5) — WCAG 2.1 AA</w:t>
            </w:r>
          </w:p>
          <w:p>
            <w:pPr>
              <w:spacing w:after="0" w:before="0"/>
            </w:pPr>
            <w:r>
              <w:rPr>
                <w:rFonts w:ascii="Arial" w:cs="Arial" w:eastAsia="Arial" w:hAnsi="Arial"/>
                <w:color w:val="1A2332"/>
                <w:sz w:val="22"/>
                <w:szCs w:val="22"/>
              </w:rPr>
              <w:t xml:space="preserve">Requires WCAG 2.1 AA compliance (mandatory under PSBAR for NHS digital services), evidence of user research with target clinical/patient populations, and compliance with the NHS Digital Service Manual and NHS Design System where applicable. For patient-facing applications, accessibility is critical — elderly and disabled patients are significant NHS service users.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DTAC and NICE ESF Relationship: DTAC is the gateway for NHS App Library listing. The NICE Evidence Standards Framework (ESF) provides the evidence requirements for clinical effectiveness claims. A technology can be DTAC-approved without NICE ESF evaluation, but NHS organisations may also require ESF compliance for procurement. ClickMasters advises on both pathways.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Long Does DTAC Take?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Scenario</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4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Activities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New product — well-prepared</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 months</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DCB0129 CSO appointment, DSP Toolkit completion, Cyber Essentials Plus, pen test, evidence compilation, submission, review, approval</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New product — minimal prep</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6–12 months</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As above, plus: CSO recruitment, ISO 27001 gap analysis and remediation, WCAG audit and fixes, FHIR implementation (if required)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Product with DTAC failures — targeted remediation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6–14 weeks</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Identify specific failed domains, fix technical gaps, recompile evidence, resubmit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Annual DTAC renewal</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 weeks</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Update evidence, new DSP Toolkit cycle, renewed pen test (if annual), updated DPIA if processing changed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DTAC Compliance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DTAC and DSP Toolkit?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(Digital Technology Assessment Criteria) is the overall assessment framework for NHS App Library listing — covering 5 domains including Data Protection. The DSP Toolkit (Data Security and Protection Toolkit) is a specific self-assessment requirement within DTAC's Data Protection domain. Completing the DSP Toolkit to "Standards Met" is necessary but not sufficient for DTAC — you must also meet the other four domains.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a Clinical Safety Officer for my app?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your digital health technology could influence clinical decision-making — including diagnostic support tools, medication management, patient monitoring, or mental health applications — you need a Clinical Safety Officer (CSO). The CSO must hold a relevant clinical qualification and be accountable for your clinical risk management system under DCB0129. For patient-facing wellness apps with no clinical decision support, the CSO requirement may not apply — but you should verify this with NHS Digital.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ClickMasters help us pass DTAC?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ClickMasters provides: DTAC gap assessment (identifying your current compliance status against all 5 domains), technical remediation for Domain 2 (Data Protection), Domain 3 (Technical Security), Domain 4 (Interoperability), and Domain 5 (Accessibility). For Domain 1 (Clinical Safety), we support the technical aspects but recommend engaging a specialist clinical safety consultancy for the clinical risk management elements. ClickMasters has remediated products that failed Domains 2, 3, and 5 and achieved DTAC approval on resubmission.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it cost to achieve DTAC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compliance costs vary significantly based on your starting point. For a well-prepared new product: Cyber Essentials Plus (£1,500–£5,000), CREST pen test (£4,000–£15,000), DSP Toolkit completion (internal resource), WCAG audit and remediation (£2,500–£8,000), clinical safety consultancy (£5,000–£20,000), total approximately £15,000–£50,000+ first year. ClickMasters provides a free DTAC gap assessment to give you an accurate remediation cost estimate before you commit.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FHIR R4 Integration Guide UK: /fhir-r4-integration-guide/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Plus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WCAG 2.1 Compliance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DSP Toolkit Compliance UK: /dsp-toolkit-compliance/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DTAC Gap Assessment</w:t>
            </w:r>
          </w:p>
          <w:p>
            <w:pPr>
              <w:spacing w:after="160" w:before="0"/>
            </w:pPr>
            <w:r>
              <w:rPr>
                <w:rFonts w:ascii="Arial" w:cs="Arial" w:eastAsia="Arial" w:hAnsi="Arial"/>
                <w:color w:val="BDD0E8"/>
                <w:sz w:val="22"/>
                <w:szCs w:val="22"/>
              </w:rPr>
              <w:t xml:space="preserve">ClickMasters will assess your current DTAC compliance status across all 5 domains and give you a prioritised remediation plan — at no charge.</w:t>
            </w:r>
          </w:p>
          <w:p>
            <w:pPr>
              <w:spacing w:after="0" w:before="0"/>
            </w:pPr>
            <w:r>
              <w:rPr>
                <w:rFonts w:ascii="Arial" w:cs="Arial" w:eastAsia="Arial" w:hAnsi="Arial"/>
                <w:b/>
                <w:bCs/>
                <w:color w:val="E8612A"/>
                <w:sz w:val="22"/>
                <w:szCs w:val="22"/>
              </w:rPr>
              <w:t xml:space="preserve">→ Book Free DTAC Assessment: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Compliance Team</w:t>
            </w:r>
          </w:p>
          <w:p>
            <w:pPr>
              <w:spacing w:after="80" w:before="0"/>
            </w:pPr>
            <w:r>
              <w:rPr>
                <w:rFonts w:ascii="Arial" w:cs="Arial" w:eastAsia="Arial" w:hAnsi="Arial"/>
                <w:b/>
                <w:bCs/>
                <w:color w:val="E8612A"/>
                <w:sz w:val="20"/>
                <w:szCs w:val="20"/>
              </w:rPr>
              <w:t xml:space="preserve">DTAC, DSP Toolkit, and NHS Digital supplier specialists</w:t>
            </w:r>
          </w:p>
          <w:p>
            <w:pPr>
              <w:spacing w:after="0" w:before="0"/>
            </w:pPr>
            <w:r>
              <w:rPr>
                <w:rFonts w:ascii="Arial" w:cs="Arial" w:eastAsia="Arial" w:hAnsi="Arial"/>
                <w:color w:val="1A2332"/>
                <w:sz w:val="20"/>
                <w:szCs w:val="20"/>
              </w:rPr>
              <w:t xml:space="preserve">ClickMasters has supported HealthTech companies through DTAC assessment, remediation, and resubmission. Our technical team has direct experience with NHS Login, GP Connect, FHIR R4, and DSP Toolkit completion.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"dtac compliance software uk" (500/mo), "dtac guide developers uk" (500/mo), "nhs app library submission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2026-05-21T06:07:44.947Z</dcterms:created>
  <dcterms:modified xsi:type="dcterms:W3CDTF">2026-05-21T06:07:44.960Z</dcterms:modified>
</cp:coreProperties>
</file>

<file path=docProps/custom.xml><?xml version="1.0" encoding="utf-8"?>
<Properties xmlns="http://schemas.openxmlformats.org/officeDocument/2006/custom-properties" xmlns:vt="http://schemas.openxmlformats.org/officeDocument/2006/docPropsVTypes"/>
</file>