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RetailTech UK | ClickMasters
META DESC: SaaS Development for UK RetailTech. UK GDPR. £40,000–£200,000.
SLUG: /retailtech-saas-development/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RetailTech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RetailTech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RetailTech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RetailTech Companies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RetailTech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RetailTech businesses with UK GDPR,  PCI-DSS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RetailTech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RetailTech SaaS Architecture: </w:t>
      </w:r>
      <w:r>
        <w:rPr>
          <w:rFonts w:ascii="Arial" w:cs="Arial" w:eastAsia="Arial" w:hAnsi="Arial"/>
          <w:b w:val="false"/>
          <w:bCs w:val="false"/>
          <w:i w:val="false"/>
          <w:iCs w:val="false"/>
          <w:color w:val="1A2332"/>
          <w:sz w:val="22"/>
          <w:szCs w:val="22"/>
        </w:rPr>
        <w:t xml:space="preserve">RetailTech SaaS serving multiple retail brands requires multi-tenant architecture with strong isolation. PostgreSQL separate schema per retail tenant for UK GDPR data isolation. Tenant-specific product catalogues, pricing rules, and promotion engines. Shared infrastructure but zero data leakage between tenants — a cross-tenant data exposure is a UK GDPR breach.</w:t>
      </w:r>
    </w:p>
    <w:p>
      <w:pPr>
        <w:spacing w:after="60" w:before="60"/>
      </w:pPr>
    </w:p>
    <w:p>
      <w:pPr>
        <w:spacing w:after="160" w:before="100"/>
      </w:pPr>
      <w:r>
        <w:rPr>
          <w:rFonts w:ascii="Arial" w:cs="Arial" w:eastAsia="Arial" w:hAnsi="Arial"/>
          <w:b/>
          <w:bCs/>
          <w:i w:val="false"/>
          <w:iCs w:val="false"/>
          <w:color w:val="E8612A"/>
          <w:sz w:val="22"/>
          <w:szCs w:val="22"/>
        </w:rPr>
        <w:t xml:space="preserve">Consumer Rights Act 2015 as SaaS Obligation: </w:t>
      </w:r>
      <w:r>
        <w:rPr>
          <w:rFonts w:ascii="Arial" w:cs="Arial" w:eastAsia="Arial" w:hAnsi="Arial"/>
          <w:b w:val="false"/>
          <w:bCs w:val="false"/>
          <w:i w:val="false"/>
          <w:iCs w:val="false"/>
          <w:color w:val="1A2332"/>
          <w:sz w:val="22"/>
          <w:szCs w:val="22"/>
        </w:rPr>
        <w:t xml:space="preserve">RetailTech SaaS must enable merchant tenants to meet Consumer Rights Act obligations: 14-day cancellation flow (e-commerce), returns workflow, digital goods fitness for purpose, and pricing transparency (all charges displayed before checkout). These are technical platform requirements, not just policies.</w:t>
      </w:r>
    </w:p>
    <w:p>
      <w:pPr>
        <w:spacing w:after="60" w:before="60"/>
      </w:pPr>
    </w:p>
    <w:p>
      <w:pPr>
        <w:spacing w:after="160" w:before="100"/>
      </w:pPr>
      <w:r>
        <w:rPr>
          <w:rFonts w:ascii="Arial" w:cs="Arial" w:eastAsia="Arial" w:hAnsi="Arial"/>
          <w:b/>
          <w:bCs/>
          <w:i w:val="false"/>
          <w:iCs w:val="false"/>
          <w:color w:val="E8612A"/>
          <w:sz w:val="22"/>
          <w:szCs w:val="22"/>
        </w:rPr>
        <w:t xml:space="preserve">Black Friday Architecture for Multi-Tenant: </w:t>
      </w:r>
      <w:r>
        <w:rPr>
          <w:rFonts w:ascii="Arial" w:cs="Arial" w:eastAsia="Arial" w:hAnsi="Arial"/>
          <w:b w:val="false"/>
          <w:bCs w:val="false"/>
          <w:i w:val="false"/>
          <w:iCs w:val="false"/>
          <w:color w:val="1A2332"/>
          <w:sz w:val="22"/>
          <w:szCs w:val="22"/>
        </w:rPr>
        <w:t xml:space="preserve">Multi-tenant RetailTech SaaS must handle Black Friday scaling per tenant — a single large tenant's traffic spike must not affect other tenants. Redis caching per tenant (no cross-tenant cache contamination), queue-based order processing with tenant-aware priority, and per-tenant auto-scaling policies.</w:t>
      </w:r>
    </w:p>
    <w:p>
      <w:pPr>
        <w:spacing w:after="60" w:before="60"/>
      </w:pPr>
    </w:p>
    <w:p>
      <w:pPr>
        <w:spacing w:after="160" w:before="100"/>
      </w:pPr>
      <w:r>
        <w:rPr>
          <w:rFonts w:ascii="Arial" w:cs="Arial" w:eastAsia="Arial" w:hAnsi="Arial"/>
          <w:b/>
          <w:bCs/>
          <w:i w:val="false"/>
          <w:iCs w:val="false"/>
          <w:color w:val="E8612A"/>
          <w:sz w:val="22"/>
          <w:szCs w:val="22"/>
        </w:rPr>
        <w:t xml:space="preserve">PECR Consent for Multi-Tenant Marketing: </w:t>
      </w:r>
      <w:r>
        <w:rPr>
          <w:rFonts w:ascii="Arial" w:cs="Arial" w:eastAsia="Arial" w:hAnsi="Arial"/>
          <w:b w:val="false"/>
          <w:bCs w:val="false"/>
          <w:i w:val="false"/>
          <w:iCs w:val="false"/>
          <w:color w:val="1A2332"/>
          <w:sz w:val="22"/>
          <w:szCs w:val="22"/>
        </w:rPr>
        <w:t xml:space="preserve">PECR marketing consent must be maintained per-tenant — each retailer has their own consent records for their own customers. Shared marketing infrastructure must enforce tenant isolation. Unsubscribes in one tenant's customer database must not be confused with another tenant's records.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PCI-DSS, Consumer Rights Act 2015, PECR, Equality Act 2010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RetailTech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build UK GDPR compliant multi-tenant RetailTech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PostgreSQL separate schema per retail tenant (complete data isolation). Article 28 DPA in your RetailTech platform terms of service (you are the data processor; each retailer is the data controller). Right to erasure per tenant: deleting a retailer account must cascade all their customer data. Audit logging for all access to tenant data.</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Black Friday traffic in RetailTech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Multi-tenant Black Friday architecture: Redis caching per tenant (no cross-tenant contamination), SQS queues for order processing (decoupled from inventory), database read replicas for product catalogue queries, Kubernetes horizontal pod autoscaling per tenant namespace, and k6 load testing at 10x normal traffic 4 weeks before peak.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RetailTech Software Development UK: /retailtech-software-development/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eCommerce Software Development UK: /ecommerce-software-development/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RetailTech SaaS Development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RetailTech Team</w:t>
            </w:r>
          </w:p>
          <w:p>
            <w:pPr>
              <w:spacing w:after="80" w:before="0"/>
            </w:pPr>
            <w:r>
              <w:rPr>
                <w:rFonts w:ascii="Arial" w:cs="Arial" w:eastAsia="Arial" w:hAnsi="Arial"/>
                <w:b/>
                <w:bCs/>
                <w:color w:val="E8612A"/>
                <w:sz w:val="20"/>
                <w:szCs w:val="20"/>
              </w:rPr>
              <w:t xml:space="preserve">RetailTech software specialists</w:t>
            </w:r>
          </w:p>
          <w:p>
            <w:pPr>
              <w:spacing w:after="0" w:before="0"/>
            </w:pPr>
            <w:r>
              <w:rPr>
                <w:rFonts w:ascii="Arial" w:cs="Arial" w:eastAsia="Arial" w:hAnsi="Arial"/>
                <w:color w:val="1A2332"/>
                <w:sz w:val="20"/>
                <w:szCs w:val="20"/>
              </w:rPr>
              <w:t xml:space="preserve">ClickMasters delivers SaaS Development for UK RetailTech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"retailtech saas development uk"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2026-05-24T07:23:08.200Z</dcterms:created>
  <dcterms:modified xsi:type="dcterms:W3CDTF">2026-05-24T07:23:08.200Z</dcterms:modified>
</cp:coreProperties>
</file>

<file path=docProps/custom.xml><?xml version="1.0" encoding="utf-8"?>
<Properties xmlns="http://schemas.openxmlformats.org/officeDocument/2006/custom-properties" xmlns:vt="http://schemas.openxmlformats.org/officeDocument/2006/docPropsVTypes"/>
</file>