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Wearable Integration Platform — NHS Remote Monitoring — ClickMasters Case Study
META DESC: An NHS Clinical Commissioning Group (now ICB) wanted to build a remote patient monitoring platform for 1,200 p...
SLUG: /case-studies/healthtech-wearable-nhs-remote-monitoring/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Wearable Integration Platform — NHS Remote Monitoring</w:t>
      </w:r>
    </w:p>
    <w:p>
      <w:pPr>
        <w:spacing w:after="60" w:before="60"/>
      </w:pPr>
    </w:p>
    <w:p>
      <w:pPr>
        <w:pStyle w:val="Heading1"/>
        <w:spacing w:after="160" w:before="360"/>
      </w:pPr>
      <w:r>
        <w:rPr>
          <w:rFonts w:ascii="Arial" w:cs="Arial" w:eastAsia="Arial" w:hAnsi="Arial"/>
          <w:b/>
          <w:bCs/>
          <w:color w:val="0B1F3A"/>
          <w:sz w:val="40"/>
          <w:szCs w:val="40"/>
        </w:rPr>
        <w:t xml:space="preserve">HealthTech Wearable Integration Platform — NHS Remote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NHS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NHS | Tech: React Native (iOS + Android), Node.js/Fastify, PostgreSQL, FHIR R4 (UK Core), NHS Spine PDS, Fitbit API, Apple HealthKit, Withings API, AWS eu-west-2 | Compliance: DTAC all 5 domains, DCB0129, UK GDPR Article 9, NHS DSP Toolkit, FHIR R4 UK Core, NHS Login,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Clinical Commissioning Group (now ICB) wanted to build a remote patient monitoring platform for 1,200 patients with heart failure — capturing daily weight, blood pressure, and symptom data via consumer wearables (Fitbit, Apple Watch, Withings scales) to enable clinical teams to intervene before hospital readmission. Clinical Safety (DCB0129), UK GDPR Article 9 (health data), FHIR R4 integration with NHS Spine, and DTAC all 5 domains were required.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Wearable API Integration: </w:t>
      </w:r>
      <w:r>
        <w:rPr>
          <w:rFonts w:ascii="Arial" w:cs="Arial" w:eastAsia="Arial" w:hAnsi="Arial"/>
          <w:b w:val="false"/>
          <w:bCs w:val="false"/>
          <w:i w:val="false"/>
          <w:iCs w:val="false"/>
          <w:color w:val="1A2332"/>
          <w:sz w:val="22"/>
          <w:szCs w:val="22"/>
        </w:rPr>
        <w:t xml:space="preserve">Fitbit API, Apple HealthKit (via iOS app), Withings API, and Garmin Connect API for patient-consented data collection. OAuth 2.0 per patient per device — patients can revoke at any time. Data normalisation: each device uses different units and sampling rates — normalised to FHIR R4 Observation resources.</w:t>
      </w:r>
    </w:p>
    <w:p>
      <w:pPr>
        <w:spacing w:after="160" w:before="100"/>
      </w:pPr>
      <w:r>
        <w:rPr>
          <w:rFonts w:ascii="Arial" w:cs="Arial" w:eastAsia="Arial" w:hAnsi="Arial"/>
          <w:b/>
          <w:bCs/>
          <w:i w:val="false"/>
          <w:iCs w:val="false"/>
          <w:color w:val="E8612A"/>
          <w:sz w:val="22"/>
          <w:szCs w:val="22"/>
        </w:rPr>
        <w:t xml:space="preserve">Clinical Alert Algorithm: </w:t>
      </w:r>
      <w:r>
        <w:rPr>
          <w:rFonts w:ascii="Arial" w:cs="Arial" w:eastAsia="Arial" w:hAnsi="Arial"/>
          <w:b w:val="false"/>
          <w:bCs w:val="false"/>
          <w:i w:val="false"/>
          <w:iCs w:val="false"/>
          <w:color w:val="1A2332"/>
          <w:sz w:val="22"/>
          <w:szCs w:val="22"/>
        </w:rPr>
        <w:t xml:space="preserve">Rule-based alert engine: weight gain above 2kg in 24 hours (heart failure exacerbation signal), systolic BP above 180 or below 90 mmHg, heart rate above 100 at rest for 3 consecutive readings. Alert routing: clinical nurse specialist dashboard (Amber alerts), GP/hospital escalation (Red alerts). Alert audit trail for clinical governance.</w:t>
      </w:r>
    </w:p>
    <w:p>
      <w:pPr>
        <w:spacing w:after="160" w:before="100"/>
      </w:pPr>
      <w:r>
        <w:rPr>
          <w:rFonts w:ascii="Arial" w:cs="Arial" w:eastAsia="Arial" w:hAnsi="Arial"/>
          <w:b/>
          <w:bCs/>
          <w:i w:val="false"/>
          <w:iCs w:val="false"/>
          <w:color w:val="E8612A"/>
          <w:sz w:val="22"/>
          <w:szCs w:val="22"/>
        </w:rPr>
        <w:t xml:space="preserve">NHS FHIR R4 Integration: </w:t>
      </w:r>
      <w:r>
        <w:rPr>
          <w:rFonts w:ascii="Arial" w:cs="Arial" w:eastAsia="Arial" w:hAnsi="Arial"/>
          <w:b w:val="false"/>
          <w:bCs w:val="false"/>
          <w:i w:val="false"/>
          <w:iCs w:val="false"/>
          <w:color w:val="1A2332"/>
          <w:sz w:val="22"/>
          <w:szCs w:val="22"/>
        </w:rPr>
        <w:t xml:space="preserve">Patient identity via NHS Spine PDS. Observation resources written to patient's care record (GP Connect Write — where available). NHS Login for patient authentication (P5). FHIR R4 UK Core Observation profiles for all vital sign data. NHS e-RS integration for clinical escalation referrals.</w:t>
      </w:r>
    </w:p>
    <w:p>
      <w:pPr>
        <w:spacing w:after="160" w:before="100"/>
      </w:pPr>
      <w:r>
        <w:rPr>
          <w:rFonts w:ascii="Arial" w:cs="Arial" w:eastAsia="Arial" w:hAnsi="Arial"/>
          <w:b/>
          <w:bCs/>
          <w:i w:val="false"/>
          <w:iCs w:val="false"/>
          <w:color w:val="E8612A"/>
          <w:sz w:val="22"/>
          <w:szCs w:val="22"/>
        </w:rPr>
        <w:t xml:space="preserve">UK GDPR Article 9 and DCB0129: </w:t>
      </w:r>
      <w:r>
        <w:rPr>
          <w:rFonts w:ascii="Arial" w:cs="Arial" w:eastAsia="Arial" w:hAnsi="Arial"/>
          <w:b w:val="false"/>
          <w:bCs w:val="false"/>
          <w:i w:val="false"/>
          <w:iCs w:val="false"/>
          <w:color w:val="1A2332"/>
          <w:sz w:val="22"/>
          <w:szCs w:val="22"/>
        </w:rPr>
        <w:t xml:space="preserve">DPIA for special category health data from wearables. Explicit consent (not legitimate interest) as lawful basis for processing wearable health data. DCB0129: Clinical Risk Management Plan, Hazard Log (highest hazard: false negative — missing a deteriorating patient), and Clinical Safety Case Report signed by CSO before go-live.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1,200 patients enrolled in first 6 months. Hospital readmissions: 28% reduction in first year (NHS benchmark: 15% reduction). Clinical nurse time per patient: 40 minutes/month → 12 minutes/month (alerts focused attention on deteriorating patients). UK GDPR: ICO consulted on Article 9 architecture — endorsed approach. Patient satisfaction: 4.4/5.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28% readmission reduction in year one — against a benchmark of 15% — is the clinical outcome that justified the investment. The DTAC process was the most thorough technical review our ICB had ever conducted on a digital system. ClickMasters knew every domain from day one." — Chief Clinical Information Officer, NHS Integrated Care Board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 + Android), Node.js/Fastify, PostgreSQL, FHIR R4 (UK Core), NHS Spine PDS, Fitbit API, Apple HealthKit, Withings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UK GDPR Article 9, NHS DSP Toolkit, FHIR R4 UK Core, NHS Login,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remote monitoring platform uk, wearable health technology uk, dtac approved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2026-05-24T11:36:57.667Z</dcterms:created>
  <dcterms:modified xsi:type="dcterms:W3CDTF">2026-05-24T11:36:57.667Z</dcterms:modified>
</cp:coreProperties>
</file>

<file path=docProps/custom.xml><?xml version="1.0" encoding="utf-8"?>
<Properties xmlns="http://schemas.openxmlformats.org/officeDocument/2006/custom-properties" xmlns:vt="http://schemas.openxmlformats.org/officeDocument/2006/docPropsVTypes"/>
</file>