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for LogTech UK | ClickMasters
META DESC: SaaS Development for UK LogTech. UK GDPR. £40,000–£180,000.
SLUG: /logtech-saas-development/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LogTech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LogTech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for LogTech</w:t>
      </w:r>
    </w:p>
    <w:p>
      <w:pPr>
        <w:spacing w:after="60" w:before="60"/>
      </w:pPr>
    </w:p>
    <w:p>
      <w:pPr>
        <w:pStyle w:val="Heading1"/>
        <w:spacing w:after="160" w:before="360"/>
      </w:pPr>
      <w:r>
        <w:rPr>
          <w:rFonts w:ascii="Arial" w:cs="Arial" w:eastAsia="Arial" w:hAnsi="Arial"/>
          <w:b/>
          <w:bCs/>
          <w:color w:val="0B1F3A"/>
          <w:sz w:val="40"/>
          <w:szCs w:val="40"/>
        </w:rPr>
        <w:t xml:space="preserve">SaaS Development for UK LogTech — UK GDPR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LogTech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£40,000–£180,000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UK LogTech businesses with UK GDPR,  DVSA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SaaS Development for LogTech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Multi-Tenant Fleet Management SaaS: </w:t>
      </w:r>
      <w:r>
        <w:rPr>
          <w:rFonts w:ascii="Arial" w:cs="Arial" w:eastAsia="Arial" w:hAnsi="Arial"/>
          <w:b w:val="false"/>
          <w:bCs w:val="false"/>
          <w:i w:val="false"/>
          <w:iCs w:val="false"/>
          <w:color w:val="1A2332"/>
          <w:sz w:val="22"/>
          <w:szCs w:val="22"/>
        </w:rPr>
        <w:t xml:space="preserve">LogTech SaaS serving multiple fleet operators requires multi-tenant architecture: separate PostgreSQL schema per fleet operator tenant, complete driver data isolation (GDPR — one operator cannot see another's driver data), configurable DVSA tachograph compliance settings per tenant (different vehicle types have different rules), and white-label capability for fleet management companies reselling to their own clients.</w:t>
      </w:r>
    </w:p>
    <w:p>
      <w:pPr>
        <w:spacing w:after="60" w:before="60"/>
      </w:pPr>
    </w:p>
    <w:p>
      <w:pPr>
        <w:spacing w:after="160" w:before="100"/>
      </w:pPr>
      <w:r>
        <w:rPr>
          <w:rFonts w:ascii="Arial" w:cs="Arial" w:eastAsia="Arial" w:hAnsi="Arial"/>
          <w:b/>
          <w:bCs/>
          <w:i w:val="false"/>
          <w:iCs w:val="false"/>
          <w:color w:val="E8612A"/>
          <w:sz w:val="22"/>
          <w:szCs w:val="22"/>
        </w:rPr>
        <w:t xml:space="preserve">DVSA Tachograph as SaaS Feature: </w:t>
      </w:r>
      <w:r>
        <w:rPr>
          <w:rFonts w:ascii="Arial" w:cs="Arial" w:eastAsia="Arial" w:hAnsi="Arial"/>
          <w:b w:val="false"/>
          <w:bCs w:val="false"/>
          <w:i w:val="false"/>
          <w:iCs w:val="false"/>
          <w:color w:val="1A2332"/>
          <w:sz w:val="22"/>
          <w:szCs w:val="22"/>
        </w:rPr>
        <w:t xml:space="preserve">DVSA digital tachograph compliance as a SaaS feature: per-tenant Continental VDO/Stoneridge API configuration, automated download scheduling per fleet, infringement reporting per driver per tenant, DVSA-ready export (DDD format), and compliance dashboard per tenant operator. Tenants can be independent truck operators or logistics companies with hundreds of vehicles.</w:t>
      </w:r>
    </w:p>
    <w:p>
      <w:pPr>
        <w:spacing w:after="60" w:before="60"/>
      </w:pPr>
    </w:p>
    <w:p>
      <w:pPr>
        <w:spacing w:after="160" w:before="100"/>
      </w:pPr>
      <w:r>
        <w:rPr>
          <w:rFonts w:ascii="Arial" w:cs="Arial" w:eastAsia="Arial" w:hAnsi="Arial"/>
          <w:b/>
          <w:bCs/>
          <w:i w:val="false"/>
          <w:iCs w:val="false"/>
          <w:color w:val="E8612A"/>
          <w:sz w:val="22"/>
          <w:szCs w:val="22"/>
        </w:rPr>
        <w:t xml:space="preserve">UK GDPR Driver Data in SaaS: </w:t>
      </w:r>
      <w:r>
        <w:rPr>
          <w:rFonts w:ascii="Arial" w:cs="Arial" w:eastAsia="Arial" w:hAnsi="Arial"/>
          <w:b w:val="false"/>
          <w:bCs w:val="false"/>
          <w:i w:val="false"/>
          <w:iCs w:val="false"/>
          <w:color w:val="1A2332"/>
          <w:sz w:val="22"/>
          <w:szCs w:val="22"/>
        </w:rPr>
        <w:t xml:space="preserve">Driver data in multi-tenant LogTech SaaS has specific GDPR implications. As SaaS provider, you are data processor for each fleet operator tenant (Article 28 DPA required in your terms). Driver personal data (location, tachograph, incidents) must be completely isolated per tenant. Right to erasure: a driver leaving one fleet operator — only that tenant's data about that driver is erased.</w:t>
      </w:r>
    </w:p>
    <w:p>
      <w:pPr>
        <w:spacing w:after="60" w:before="60"/>
      </w:pPr>
    </w:p>
    <w:p>
      <w:pPr>
        <w:spacing w:after="160" w:before="100"/>
      </w:pPr>
      <w:r>
        <w:rPr>
          <w:rFonts w:ascii="Arial" w:cs="Arial" w:eastAsia="Arial" w:hAnsi="Arial"/>
          <w:b/>
          <w:bCs/>
          <w:i w:val="false"/>
          <w:iCs w:val="false"/>
          <w:color w:val="E8612A"/>
          <w:sz w:val="22"/>
          <w:szCs w:val="22"/>
        </w:rPr>
        <w:t xml:space="preserve">Route Optimisation APIs as SaaS Feature: </w:t>
      </w:r>
      <w:r>
        <w:rPr>
          <w:rFonts w:ascii="Arial" w:cs="Arial" w:eastAsia="Arial" w:hAnsi="Arial"/>
          <w:b w:val="false"/>
          <w:bCs w:val="false"/>
          <w:i w:val="false"/>
          <w:iCs w:val="false"/>
          <w:color w:val="1A2332"/>
          <w:sz w:val="22"/>
          <w:szCs w:val="22"/>
        </w:rPr>
        <w:t xml:space="preserve">Route optimisation as a SaaS feature: Google Maps Platform Distance Matrix (commercial agreement required), HERE Technologies (European road network data), or open-source OSRM (self-hosted, no per-call cost). CO2 calculation per route for SECR tenant reporting. Estimated time of arrival with live traffic data fed from carrier API webhooks.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DVSA, EU Drivers Hours, HSE, FMCSA (for US operations),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LogTech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£40,000–£180,000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£3,500/mo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DVSA compliance features should LogTech SaaS include?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Per-tenant digital tachograph: download schedule configuration, infringement detection and categorisation (mild/serious/very serious), driver notification workflow, DVSA report generation (DDD format), and compliance trend dashboard. Penalty calculation: DVSA infringement fine levels for reference. Vehicle roadworthiness: MOT and service date tracking with renewal alerts.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handle UK GDPR driver location data in SaaS?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Legitimate interest as basis (fleet management operational necessity). Privacy Notice provided to drivers at employment start. Right to access: driver portal enabling drivers to view their own location history. Data minimisation: raw GPS retained 28 days only, tachograph data 12 months (DVSA minimum). Right to erasure: on driver departure from fleet operator, their personal data deleted per DVSA minimum retention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LogTech Software Development UK: /logtech-software-development/</w:t>
      </w:r>
    </w:p>
    <w:p>
      <w:pPr>
        <w:pStyle w:val="ListParagraph"/>
        <w:numPr>
          <w:ilvl w:val="0"/>
          <w:numId w:val="2"/>
        </w:numPr>
        <w:spacing w:after="60" w:before="60"/>
      </w:pPr>
      <w:r>
        <w:rPr>
          <w:rFonts w:ascii="Arial" w:cs="Arial" w:eastAsia="Arial" w:hAnsi="Arial"/>
          <w:color w:val="1A4A8A"/>
          <w:sz w:val="22"/>
          <w:szCs w:val="22"/>
        </w:rPr>
        <w:t xml:space="preserve">SaaS Development UK: /saas-development/</w:t>
      </w:r>
    </w:p>
    <w:p>
      <w:pPr>
        <w:pStyle w:val="ListParagraph"/>
        <w:numPr>
          <w:ilvl w:val="0"/>
          <w:numId w:val="2"/>
        </w:numPr>
        <w:spacing w:after="60" w:before="60"/>
      </w:pPr>
      <w:r>
        <w:rPr>
          <w:rFonts w:ascii="Arial" w:cs="Arial" w:eastAsia="Arial" w:hAnsi="Arial"/>
          <w:color w:val="1A4A8A"/>
          <w:sz w:val="22"/>
          <w:szCs w:val="22"/>
        </w:rPr>
        <w:t xml:space="preserve">DVSA Tachograph Integration: /dvsa-tachograph-software/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LogTech SaaS Development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LogTech Team</w:t>
            </w:r>
          </w:p>
          <w:p>
            <w:pPr>
              <w:spacing w:after="80" w:before="0"/>
            </w:pPr>
            <w:r>
              <w:rPr>
                <w:rFonts w:ascii="Arial" w:cs="Arial" w:eastAsia="Arial" w:hAnsi="Arial"/>
                <w:b/>
                <w:bCs/>
                <w:color w:val="E8612A"/>
                <w:sz w:val="20"/>
                <w:szCs w:val="20"/>
              </w:rPr>
              <w:t xml:space="preserve">LogTech software specialists</w:t>
            </w:r>
          </w:p>
          <w:p>
            <w:pPr>
              <w:spacing w:after="0" w:before="0"/>
            </w:pPr>
            <w:r>
              <w:rPr>
                <w:rFonts w:ascii="Arial" w:cs="Arial" w:eastAsia="Arial" w:hAnsi="Arial"/>
                <w:color w:val="1A2332"/>
                <w:sz w:val="20"/>
                <w:szCs w:val="20"/>
              </w:rPr>
              <w:t xml:space="preserve">Delivering SaaS Development for UK LogTech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"logtech saas development uk" (~100/mo)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2026-05-25T11:16:26.213Z</dcterms:created>
  <dcterms:modified xsi:type="dcterms:W3CDTF">2026-05-25T11:16:26.213Z</dcterms:modified>
</cp:coreProperties>
</file>

<file path=docProps/custom.xml><?xml version="1.0" encoding="utf-8"?>
<Properties xmlns="http://schemas.openxmlformats.org/officeDocument/2006/custom-properties" xmlns:vt="http://schemas.openxmlformats.org/officeDocument/2006/docPropsVTypes"/>
</file>